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4" w:rsidRPr="00E85EC4" w:rsidRDefault="00E85EC4" w:rsidP="00093618">
      <w:pPr>
        <w:suppressLineNumbers/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b/>
          <w:bCs/>
          <w:color w:val="424242"/>
          <w:kern w:val="36"/>
          <w:sz w:val="28"/>
          <w:szCs w:val="28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424242"/>
          <w:kern w:val="36"/>
          <w:sz w:val="28"/>
          <w:szCs w:val="28"/>
          <w:lang w:val="en-US" w:eastAsia="de-DE"/>
        </w:rPr>
        <w:t xml:space="preserve">text: </w:t>
      </w:r>
      <w:r w:rsidRPr="00E85EC4">
        <w:rPr>
          <w:rFonts w:ascii="Helvetica" w:eastAsia="Times New Roman" w:hAnsi="Helvetica" w:cs="Times New Roman"/>
          <w:b/>
          <w:bCs/>
          <w:color w:val="424242"/>
          <w:kern w:val="36"/>
          <w:sz w:val="28"/>
          <w:szCs w:val="28"/>
          <w:lang w:val="en-US" w:eastAsia="de-DE"/>
        </w:rPr>
        <w:t>Britain from 1945 onwards</w:t>
      </w:r>
    </w:p>
    <w:p w:rsidR="00E85EC4" w:rsidRDefault="00E85EC4" w:rsidP="00093618">
      <w:pPr>
        <w:suppressLineNumbers/>
        <w:shd w:val="clear" w:color="auto" w:fill="FFFFFF"/>
        <w:spacing w:after="0" w:line="312" w:lineRule="atLeast"/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de-DE"/>
        </w:rPr>
        <w:t>By Professor Jeremy Black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de-DE"/>
        </w:rPr>
        <w:t xml:space="preserve"> in </w:t>
      </w:r>
      <w:r w:rsidRPr="00E85EC4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de-DE"/>
        </w:rPr>
        <w:t>http://www.bbc.co.uk/history/british/modern/overview_1945_present_01.shtml</w:t>
      </w:r>
      <w:r w:rsidRPr="00E85EC4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de-DE"/>
        </w:rPr>
        <w:br/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de-DE"/>
        </w:rPr>
        <w:t xml:space="preserve">, </w:t>
      </w:r>
      <w:r w:rsidRPr="00E85EC4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de-DE"/>
        </w:rPr>
        <w:t>2011-03-03</w:t>
      </w:r>
    </w:p>
    <w:p w:rsidR="00E85EC4" w:rsidRPr="00E85EC4" w:rsidRDefault="00E85EC4" w:rsidP="00093618">
      <w:pPr>
        <w:suppressLineNumbers/>
        <w:shd w:val="clear" w:color="auto" w:fill="FFFFFF"/>
        <w:spacing w:after="0" w:line="312" w:lineRule="atLeast"/>
        <w:rPr>
          <w:rFonts w:ascii="Helvetica" w:eastAsia="Times New Roman" w:hAnsi="Helvetica" w:cs="Times New Roman"/>
          <w:b/>
          <w:bCs/>
          <w:color w:val="424242"/>
          <w:sz w:val="26"/>
          <w:szCs w:val="26"/>
          <w:lang w:val="en-US" w:eastAsia="de-DE"/>
        </w:rPr>
      </w:pP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Britain and the British have changed profoundly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since 1945. 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In line with a general trend around the developed 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world, life expectancy 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has risen greatly for both men and women.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This has meant that the average age 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4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has risen, the birth rate has remained static.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Furthermore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5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, large-scale immigration, particularly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6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from the West Indies and South Asia, but also from other areas such as Eastern Europe, has made the population ethnically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7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far more diverse, with important cultural consequences.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In 1970 there were about 375,000 Hindus, Muslims and Sikhs in Britain. By 1993 the figure was about 1,620,000, with the rise in the number of Muslims being particularly pronounced.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Social and cultural change has also reflected the extent 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8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to which the population has become more individualistic and less deferential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9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.</w:t>
      </w:r>
    </w:p>
    <w:p w:rsidR="00E85EC4" w:rsidRPr="00E85EC4" w:rsidRDefault="00E85EC4" w:rsidP="0064008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b/>
          <w:bCs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The moral code that prevailed in 1945 broke down, a process </w:t>
      </w:r>
      <w:proofErr w:type="spellStart"/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formalised</w:t>
      </w:r>
      <w:proofErr w:type="spellEnd"/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by legal changes in the 1960s. Abortion 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0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and homosexuality became legal, capital punishment 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1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was abolished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2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, and measures 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3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were taken to improve the position of women.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These changes were linked to shifts in religious practice. By the 1990s, only one in seven Britons was an active member of a Christian church, although more claimed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4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to be believers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5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.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But for most believers, formal expressions of faith 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6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became less important.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More generally, the authority of age 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7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and experience were 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o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verthrown and, in their place, came an emphasis 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8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on youth and novelty.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This was seen in politics with, for example, the lowering of the voting age to 18; in the economy, with the rise of the youth consumer; and in culture, with marked changes in popular music.</w:t>
      </w:r>
    </w:p>
    <w:p w:rsidR="00E85EC4" w:rsidRPr="00E85EC4" w:rsidRDefault="00E85EC4" w:rsidP="00640084">
      <w:pPr>
        <w:shd w:val="clear" w:color="auto" w:fill="FFFFFF"/>
        <w:spacing w:after="225" w:line="312" w:lineRule="atLeast"/>
        <w:rPr>
          <w:rFonts w:ascii="Helvetica" w:eastAsia="Times New Roman" w:hAnsi="Helvetica" w:cs="Times New Roman"/>
          <w:b/>
          <w:bCs/>
          <w:color w:val="424242"/>
          <w:sz w:val="26"/>
          <w:szCs w:val="26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The 1960s destroyed a cultural continuity that had lasted since the Victorian period.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In the 1960s, pop music - not least that of the Beatles and the Rolling Stones - 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t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he Liverpool Sound, the Swinging Sixties, and the London of </w:t>
      </w:r>
      <w:proofErr w:type="spellStart"/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Carnaby</w:t>
      </w:r>
      <w:proofErr w:type="spellEnd"/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Street created a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n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ew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image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of Great Britain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.</w:t>
      </w:r>
    </w:p>
    <w:p w:rsidR="00093618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In 1945, Britain still had the largest empire in the world. This empire had largely been granted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19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independence by 1964, beginning with independence for India and Pakistan in 1947.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The most populous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0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of Britain's remaining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1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colonies, Hong Kong, was only handed over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2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to China in 1997.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</w:p>
    <w:p w:rsidR="00E85EC4" w:rsidRPr="00E85EC4" w:rsidRDefault="00093618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A</w:t>
      </w:r>
      <w:r w:rsidR="00E85EC4"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s empire receded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3"/>
      </w:r>
      <w:r w:rsidR="00E85EC4"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fast, Britain seemed a diminished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4"/>
      </w:r>
      <w:r w:rsidR="00E85EC4"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power. Nonetheless</w:t>
      </w:r>
      <w:r w:rsidR="00EB7F31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5"/>
      </w:r>
      <w:r w:rsidR="00E85EC4"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, it became the third state in the world to gain the atom bomb in1952, followed by the hydrogen bomb in 1957.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proofErr w:type="spellStart"/>
      <w:r w:rsidR="00E85EC4"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Defence</w:t>
      </w:r>
      <w:proofErr w:type="spellEnd"/>
      <w:r w:rsidR="00E85EC4"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in the post-war era largely consisted of the protection of Western Europe against the threat of Soviet invasion, and Britain played a key role in this confrontation which became known as the Cold War.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lastRenderedPageBreak/>
        <w:t xml:space="preserve">Britain became an active member of international </w:t>
      </w:r>
      <w:proofErr w:type="spellStart"/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organisations</w:t>
      </w:r>
      <w:proofErr w:type="spellEnd"/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, not least the United Nations, of which it was a founder member and held a permanent seat on the Security Council.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Britain was also a founder member of North Atlantic Treaty </w:t>
      </w:r>
      <w:proofErr w:type="spellStart"/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Organisation</w:t>
      </w:r>
      <w:proofErr w:type="spellEnd"/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(NATO) in 1949, and sent a contingent of troops to take part in the Korean War (1950 - 1953) against Communist North Korea.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Closer to home, troops were deployed 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6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in Northern Ireland from 1969 in response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7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to an outbreak of sectarian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8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violence, which rapidly became a major terrorist challenge. In the 1990s, a peaceful end to the 'Troubles' was negotiated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29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, but tension continues.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In contrast to the situation in Northern Ireland, Welsh and Scottish nationalism remained essentially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0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non-violent, and in 1997 each gained a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n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assembly 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1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exercising a considerable amount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2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of local control.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At times, Britain itself appeared to be going the same way, as entry into the European Economic Community (EEC) - later European Union (EU) - in 1973 led to a marked erosion of national sovereignty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3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and to a transfer of powers to Europe.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Uncertain public policy in the post-war period played a role in the marked relative decline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4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of the British economy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.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Th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ere was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a sense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5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of national malaise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6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in the 1970s, which also owed </w:t>
      </w:r>
      <w:r w:rsidR="00BF1A0C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7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much to very high inflation and to a sense that the country had become ungovernable, as strikes by coal miners led to the failure of government policies on wages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8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.</w:t>
      </w:r>
    </w:p>
    <w:p w:rsidR="00E85EC4" w:rsidRPr="00E85EC4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Spending became a major expression of identity and indeed a significant activity in leisure time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39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. The move to 24-hour shopping and the abolition of restrictions 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40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on Sunday trading were symptomatic of this shift.</w:t>
      </w:r>
      <w:r w:rsidR="00093618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Shopping patterns also reflected social trends in other respects with, for example, a major change in the diet, as red meat declined in relative importance, while fish and vegetarianism all enjoyed greater popularity.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So too did products and dishes from around the world</w:t>
      </w:r>
      <w:r w:rsidR="0064008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,</w:t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the British had become open to non-British influences.</w:t>
      </w:r>
    </w:p>
    <w:p w:rsidR="00093618" w:rsidRDefault="00E85EC4" w:rsidP="00E85EC4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Increased foreign travel and intermarriage were other aspects of a relatively un-xenophobic </w:t>
      </w:r>
      <w:r w:rsidR="00EB4076">
        <w:rPr>
          <w:rStyle w:val="Funotenzeichen"/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footnoteReference w:id="41"/>
      </w:r>
      <w:r w:rsidRPr="00E85EC4"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>and continually-changing society - trends that continue to this day.</w:t>
      </w:r>
    </w:p>
    <w:p w:rsidR="00E85EC4" w:rsidRPr="00E85EC4" w:rsidRDefault="00093618" w:rsidP="00093618">
      <w:pPr>
        <w:suppressLineNumbers/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</w:pPr>
      <w:r>
        <w:rPr>
          <w:rFonts w:ascii="Verdana" w:eastAsia="Times New Roman" w:hAnsi="Verdana" w:cs="Times New Roman"/>
          <w:color w:val="424242"/>
          <w:sz w:val="20"/>
          <w:szCs w:val="20"/>
          <w:lang w:val="en-US" w:eastAsia="de-DE"/>
        </w:rPr>
        <w:t xml:space="preserve"> (764 words)</w:t>
      </w:r>
    </w:p>
    <w:p w:rsidR="00AF0310" w:rsidRDefault="00EB7F31" w:rsidP="00093618">
      <w:pPr>
        <w:suppressLineNumbers/>
        <w:rPr>
          <w:lang w:val="en-US"/>
        </w:rPr>
      </w:pPr>
    </w:p>
    <w:p w:rsidR="00E85EC4" w:rsidRDefault="00E85EC4" w:rsidP="00093618">
      <w:pPr>
        <w:suppressLineNumbers/>
        <w:rPr>
          <w:lang w:val="en-US"/>
        </w:rPr>
      </w:pPr>
      <w:r>
        <w:rPr>
          <w:lang w:val="en-US"/>
        </w:rPr>
        <w:t xml:space="preserve">Tasks: </w:t>
      </w:r>
    </w:p>
    <w:p w:rsidR="00E85EC4" w:rsidRDefault="00E85EC4" w:rsidP="00093618">
      <w:pPr>
        <w:pStyle w:val="Listenabsatz"/>
        <w:numPr>
          <w:ilvl w:val="0"/>
          <w:numId w:val="3"/>
        </w:numPr>
        <w:suppressLineNumbers/>
        <w:rPr>
          <w:lang w:val="en-US"/>
        </w:rPr>
      </w:pPr>
      <w:r w:rsidRPr="00E85EC4">
        <w:rPr>
          <w:lang w:val="en-US"/>
        </w:rPr>
        <w:t>Summarize the changes from the 1940s till today.</w:t>
      </w:r>
    </w:p>
    <w:p w:rsidR="00E85EC4" w:rsidRPr="00E85EC4" w:rsidRDefault="00E85EC4" w:rsidP="00093618">
      <w:pPr>
        <w:pStyle w:val="Listenabsatz"/>
        <w:numPr>
          <w:ilvl w:val="0"/>
          <w:numId w:val="3"/>
        </w:numPr>
        <w:suppressLineNumbers/>
        <w:rPr>
          <w:lang w:val="en-US"/>
        </w:rPr>
      </w:pPr>
      <w:r>
        <w:rPr>
          <w:lang w:val="en-US"/>
        </w:rPr>
        <w:t>Comment on the statement: England loses its culture.</w:t>
      </w:r>
    </w:p>
    <w:p w:rsidR="00E85EC4" w:rsidRPr="00E85EC4" w:rsidRDefault="00E85EC4" w:rsidP="00093618">
      <w:pPr>
        <w:suppressLineNumbers/>
        <w:rPr>
          <w:lang w:val="en-US"/>
        </w:rPr>
      </w:pPr>
    </w:p>
    <w:sectPr w:rsidR="00E85EC4" w:rsidRPr="00E85EC4" w:rsidSect="00093618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76" w:rsidRDefault="00EB4076" w:rsidP="00EB4076">
      <w:pPr>
        <w:spacing w:after="0" w:line="240" w:lineRule="auto"/>
      </w:pPr>
      <w:r>
        <w:separator/>
      </w:r>
    </w:p>
  </w:endnote>
  <w:endnote w:type="continuationSeparator" w:id="0">
    <w:p w:rsidR="00EB4076" w:rsidRDefault="00EB4076" w:rsidP="00EB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76" w:rsidRDefault="00EB4076" w:rsidP="00EB4076">
      <w:pPr>
        <w:spacing w:after="0" w:line="240" w:lineRule="auto"/>
      </w:pPr>
      <w:r>
        <w:separator/>
      </w:r>
    </w:p>
  </w:footnote>
  <w:footnote w:type="continuationSeparator" w:id="0">
    <w:p w:rsidR="00EB4076" w:rsidRDefault="00EB4076" w:rsidP="00EB4076">
      <w:pPr>
        <w:spacing w:after="0" w:line="240" w:lineRule="auto"/>
      </w:pPr>
      <w:r>
        <w:continuationSeparator/>
      </w:r>
    </w:p>
  </w:footnote>
  <w:footnote w:id="1">
    <w:p w:rsidR="00BF1A0C" w:rsidRDefault="00BF1A0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BF1A0C">
        <w:rPr>
          <w:rFonts w:ascii="Verdana" w:eastAsia="Times New Roman" w:hAnsi="Verdana" w:cs="Times New Roman"/>
          <w:color w:val="424242"/>
          <w:lang w:eastAsia="de-DE"/>
        </w:rPr>
        <w:t>p</w:t>
      </w:r>
      <w:r w:rsidRPr="00BF1A0C">
        <w:rPr>
          <w:rFonts w:ascii="Verdana" w:eastAsia="Times New Roman" w:hAnsi="Verdana" w:cs="Times New Roman"/>
          <w:color w:val="424242"/>
          <w:lang w:eastAsia="de-DE"/>
        </w:rPr>
        <w:t>rofoundly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- zutiefst</w:t>
      </w:r>
    </w:p>
  </w:footnote>
  <w:footnote w:id="2">
    <w:p w:rsidR="00BF1A0C" w:rsidRPr="00BF1A0C" w:rsidRDefault="00BF1A0C" w:rsidP="00BF1A0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F1A0C">
        <w:rPr>
          <w:lang w:val="en-US"/>
        </w:rPr>
        <w:t xml:space="preserve"> </w:t>
      </w:r>
      <w:r>
        <w:rPr>
          <w:rFonts w:ascii="Verdana" w:eastAsia="Times New Roman" w:hAnsi="Verdana" w:cs="Times New Roman"/>
          <w:color w:val="424242"/>
          <w:lang w:val="en-US" w:eastAsia="de-DE"/>
        </w:rPr>
        <w:t>d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eveloped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entwickelt</w:t>
      </w:r>
      <w:proofErr w:type="spellEnd"/>
    </w:p>
  </w:footnote>
  <w:footnote w:id="3">
    <w:p w:rsidR="00BF1A0C" w:rsidRPr="00BF1A0C" w:rsidRDefault="00BF1A0C" w:rsidP="00BF1A0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F1A0C">
        <w:rPr>
          <w:lang w:val="en-US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life expectancy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Lebenserwartung</w:t>
      </w:r>
      <w:proofErr w:type="spellEnd"/>
    </w:p>
  </w:footnote>
  <w:footnote w:id="4">
    <w:p w:rsidR="00BF1A0C" w:rsidRPr="00BF1A0C" w:rsidRDefault="00BF1A0C" w:rsidP="00BF1A0C">
      <w:pPr>
        <w:pStyle w:val="Funotentext"/>
      </w:pPr>
      <w:r>
        <w:rPr>
          <w:rStyle w:val="Funotenzeichen"/>
        </w:rPr>
        <w:footnoteRef/>
      </w:r>
      <w:r w:rsidRPr="00BF1A0C">
        <w:t xml:space="preserve"> </w:t>
      </w:r>
      <w:proofErr w:type="spellStart"/>
      <w:r w:rsidRPr="00BF1A0C">
        <w:rPr>
          <w:rFonts w:ascii="Verdana" w:eastAsia="Times New Roman" w:hAnsi="Verdana" w:cs="Times New Roman"/>
          <w:color w:val="424242"/>
          <w:lang w:eastAsia="de-DE"/>
        </w:rPr>
        <w:t>the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</w:t>
      </w:r>
      <w:proofErr w:type="spellStart"/>
      <w:r w:rsidRPr="00BF1A0C">
        <w:rPr>
          <w:rFonts w:ascii="Verdana" w:eastAsia="Times New Roman" w:hAnsi="Verdana" w:cs="Times New Roman"/>
          <w:color w:val="424242"/>
          <w:lang w:eastAsia="de-DE"/>
        </w:rPr>
        <w:t>average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</w:t>
      </w:r>
      <w:proofErr w:type="spellStart"/>
      <w:r w:rsidRPr="00BF1A0C">
        <w:rPr>
          <w:rFonts w:ascii="Verdana" w:eastAsia="Times New Roman" w:hAnsi="Verdana" w:cs="Times New Roman"/>
          <w:color w:val="424242"/>
          <w:lang w:eastAsia="de-DE"/>
        </w:rPr>
        <w:t>age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- Durchschnittsalter</w:t>
      </w:r>
    </w:p>
  </w:footnote>
  <w:footnote w:id="5">
    <w:p w:rsidR="00BF1A0C" w:rsidRDefault="00BF1A0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BF1A0C">
        <w:rPr>
          <w:rFonts w:ascii="Verdana" w:eastAsia="Times New Roman" w:hAnsi="Verdana" w:cs="Times New Roman"/>
          <w:color w:val="424242"/>
          <w:lang w:eastAsia="de-DE"/>
        </w:rPr>
        <w:t>f</w:t>
      </w:r>
      <w:r w:rsidRPr="00BF1A0C">
        <w:rPr>
          <w:rFonts w:ascii="Verdana" w:eastAsia="Times New Roman" w:hAnsi="Verdana" w:cs="Times New Roman"/>
          <w:color w:val="424242"/>
          <w:lang w:eastAsia="de-DE"/>
        </w:rPr>
        <w:t>urthermore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- außerdem</w:t>
      </w:r>
    </w:p>
  </w:footnote>
  <w:footnote w:id="6">
    <w:p w:rsidR="00BF1A0C" w:rsidRPr="00BF1A0C" w:rsidRDefault="00BF1A0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F1A0C">
        <w:rPr>
          <w:lang w:val="en-US"/>
        </w:rPr>
        <w:t xml:space="preserve"> </w:t>
      </w:r>
      <w:r>
        <w:rPr>
          <w:rFonts w:ascii="Verdana" w:eastAsia="Times New Roman" w:hAnsi="Verdana" w:cs="Times New Roman"/>
          <w:color w:val="424242"/>
          <w:lang w:val="en-US" w:eastAsia="de-DE"/>
        </w:rPr>
        <w:t>p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articularly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besonders</w:t>
      </w:r>
      <w:proofErr w:type="spellEnd"/>
    </w:p>
  </w:footnote>
  <w:footnote w:id="7">
    <w:p w:rsidR="00BF1A0C" w:rsidRPr="00BF1A0C" w:rsidRDefault="00BF1A0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F1A0C">
        <w:rPr>
          <w:lang w:val="en-US"/>
        </w:rPr>
        <w:t xml:space="preserve"> </w:t>
      </w:r>
      <w:r>
        <w:rPr>
          <w:rFonts w:ascii="Verdana" w:eastAsia="Times New Roman" w:hAnsi="Verdana" w:cs="Times New Roman"/>
          <w:color w:val="424242"/>
          <w:lang w:val="en-US" w:eastAsia="de-DE"/>
        </w:rPr>
        <w:t>e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thnically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ethnisch</w:t>
      </w:r>
      <w:proofErr w:type="spellEnd"/>
    </w:p>
  </w:footnote>
  <w:footnote w:id="8">
    <w:p w:rsidR="00BF1A0C" w:rsidRPr="00BF1A0C" w:rsidRDefault="00BF1A0C" w:rsidP="00BF1A0C">
      <w:pPr>
        <w:pStyle w:val="Funotentext"/>
      </w:pPr>
      <w:r>
        <w:rPr>
          <w:rStyle w:val="Funotenzeichen"/>
        </w:rPr>
        <w:footnoteRef/>
      </w:r>
      <w:r w:rsidRPr="00BF1A0C">
        <w:t xml:space="preserve"> </w:t>
      </w:r>
      <w:proofErr w:type="spellStart"/>
      <w:r w:rsidRPr="00BF1A0C">
        <w:rPr>
          <w:rFonts w:ascii="Verdana" w:eastAsia="Times New Roman" w:hAnsi="Verdana" w:cs="Times New Roman"/>
          <w:color w:val="424242"/>
          <w:lang w:eastAsia="de-DE"/>
        </w:rPr>
        <w:t>the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</w:t>
      </w:r>
      <w:proofErr w:type="spellStart"/>
      <w:r w:rsidRPr="00BF1A0C">
        <w:rPr>
          <w:rFonts w:ascii="Verdana" w:eastAsia="Times New Roman" w:hAnsi="Verdana" w:cs="Times New Roman"/>
          <w:color w:val="424242"/>
          <w:lang w:eastAsia="de-DE"/>
        </w:rPr>
        <w:t>extent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- Umfang</w:t>
      </w:r>
    </w:p>
  </w:footnote>
  <w:footnote w:id="9">
    <w:p w:rsidR="00BF1A0C" w:rsidRDefault="00BF1A0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B7F31">
        <w:rPr>
          <w:rFonts w:ascii="Verdana" w:eastAsia="Times New Roman" w:hAnsi="Verdana" w:cs="Times New Roman"/>
          <w:color w:val="424242"/>
          <w:lang w:eastAsia="de-DE"/>
        </w:rPr>
        <w:t>d</w:t>
      </w:r>
      <w:r w:rsidRPr="00EB7F31">
        <w:rPr>
          <w:rFonts w:ascii="Verdana" w:eastAsia="Times New Roman" w:hAnsi="Verdana" w:cs="Times New Roman"/>
          <w:color w:val="424242"/>
          <w:lang w:eastAsia="de-DE"/>
        </w:rPr>
        <w:t>eferential</w:t>
      </w:r>
      <w:proofErr w:type="spellEnd"/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 - ehrerbietig</w:t>
      </w:r>
    </w:p>
  </w:footnote>
  <w:footnote w:id="10">
    <w:p w:rsidR="00EB7F31" w:rsidRDefault="00EB7F31" w:rsidP="00EB7F3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</w:t>
      </w:r>
      <w:r w:rsidRPr="00EB7F31">
        <w:rPr>
          <w:rFonts w:ascii="Verdana" w:eastAsia="Times New Roman" w:hAnsi="Verdana" w:cs="Times New Roman"/>
          <w:color w:val="424242"/>
          <w:lang w:eastAsia="de-DE"/>
        </w:rPr>
        <w:t>bortion</w:t>
      </w:r>
      <w:proofErr w:type="spellEnd"/>
      <w:r>
        <w:rPr>
          <w:rFonts w:ascii="Verdana" w:eastAsia="Times New Roman" w:hAnsi="Verdana" w:cs="Times New Roman"/>
          <w:color w:val="424242"/>
          <w:lang w:eastAsia="de-DE"/>
        </w:rPr>
        <w:t xml:space="preserve"> - Abtreibung</w:t>
      </w:r>
    </w:p>
  </w:footnote>
  <w:footnote w:id="11">
    <w:p w:rsidR="00EB7F31" w:rsidRDefault="00EB7F31" w:rsidP="00EB7F3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B7F31">
        <w:rPr>
          <w:rFonts w:ascii="Verdana" w:eastAsia="Times New Roman" w:hAnsi="Verdana" w:cs="Times New Roman"/>
          <w:color w:val="424242"/>
          <w:lang w:eastAsia="de-DE"/>
        </w:rPr>
        <w:t>capital</w:t>
      </w:r>
      <w:proofErr w:type="spellEnd"/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 </w:t>
      </w:r>
      <w:proofErr w:type="spellStart"/>
      <w:r w:rsidRPr="00EB7F31">
        <w:rPr>
          <w:rFonts w:ascii="Verdana" w:eastAsia="Times New Roman" w:hAnsi="Verdana" w:cs="Times New Roman"/>
          <w:color w:val="424242"/>
          <w:lang w:eastAsia="de-DE"/>
        </w:rPr>
        <w:t>punishment</w:t>
      </w:r>
      <w:proofErr w:type="spellEnd"/>
      <w:r>
        <w:rPr>
          <w:rFonts w:ascii="Verdana" w:eastAsia="Times New Roman" w:hAnsi="Verdana" w:cs="Times New Roman"/>
          <w:color w:val="424242"/>
          <w:lang w:eastAsia="de-DE"/>
        </w:rPr>
        <w:t xml:space="preserve"> - Todesstrafe</w:t>
      </w:r>
    </w:p>
  </w:footnote>
  <w:footnote w:id="12">
    <w:p w:rsidR="00EB7F31" w:rsidRPr="00EB7F31" w:rsidRDefault="00EB7F3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B7F31">
        <w:rPr>
          <w:lang w:val="en-US"/>
        </w:rPr>
        <w:t xml:space="preserve"> to 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abolish -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abschaffen</w:t>
      </w:r>
      <w:proofErr w:type="spellEnd"/>
    </w:p>
  </w:footnote>
  <w:footnote w:id="13">
    <w:p w:rsidR="00EB7F31" w:rsidRPr="00EB7F31" w:rsidRDefault="00EB7F31" w:rsidP="00EB7F31">
      <w:pPr>
        <w:pStyle w:val="Funotentext"/>
      </w:pPr>
      <w:r>
        <w:rPr>
          <w:rStyle w:val="Funotenzeichen"/>
        </w:rPr>
        <w:footnoteRef/>
      </w:r>
      <w:r w:rsidRPr="00EB7F31">
        <w:t xml:space="preserve"> </w:t>
      </w:r>
      <w:proofErr w:type="spellStart"/>
      <w:r w:rsidRPr="00EB7F31">
        <w:t>m</w:t>
      </w:r>
      <w:r w:rsidRPr="00EB7F31">
        <w:rPr>
          <w:rFonts w:ascii="Verdana" w:eastAsia="Times New Roman" w:hAnsi="Verdana" w:cs="Times New Roman"/>
          <w:color w:val="424242"/>
          <w:lang w:eastAsia="de-DE"/>
        </w:rPr>
        <w:t>easures</w:t>
      </w:r>
      <w:proofErr w:type="spellEnd"/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 - Maßnahmen</w:t>
      </w:r>
    </w:p>
  </w:footnote>
  <w:footnote w:id="14">
    <w:p w:rsidR="00EB7F31" w:rsidRDefault="00EB7F3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Pr="00EB7F31">
        <w:rPr>
          <w:rFonts w:ascii="Verdana" w:eastAsia="Times New Roman" w:hAnsi="Verdana" w:cs="Times New Roman"/>
          <w:color w:val="424242"/>
          <w:lang w:eastAsia="de-DE"/>
        </w:rPr>
        <w:t>claim</w:t>
      </w:r>
      <w:proofErr w:type="spellEnd"/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 - behaupten</w:t>
      </w:r>
    </w:p>
  </w:footnote>
  <w:footnote w:id="15">
    <w:p w:rsidR="00EB7F31" w:rsidRDefault="00EB7F3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b</w:t>
      </w:r>
      <w:r w:rsidRPr="00EB7F31">
        <w:rPr>
          <w:rFonts w:ascii="Verdana" w:eastAsia="Times New Roman" w:hAnsi="Verdana" w:cs="Times New Roman"/>
          <w:color w:val="424242"/>
          <w:lang w:eastAsia="de-DE"/>
        </w:rPr>
        <w:t>elievers</w:t>
      </w:r>
      <w:proofErr w:type="spellEnd"/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 - Gläubige</w:t>
      </w:r>
    </w:p>
  </w:footnote>
  <w:footnote w:id="16">
    <w:p w:rsidR="00EB7F31" w:rsidRDefault="00EB7F31" w:rsidP="00EB7F3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formal </w:t>
      </w:r>
      <w:proofErr w:type="spellStart"/>
      <w:r w:rsidRPr="00EB7F31">
        <w:rPr>
          <w:rFonts w:ascii="Verdana" w:eastAsia="Times New Roman" w:hAnsi="Verdana" w:cs="Times New Roman"/>
          <w:color w:val="424242"/>
          <w:lang w:eastAsia="de-DE"/>
        </w:rPr>
        <w:t>expressions</w:t>
      </w:r>
      <w:proofErr w:type="spellEnd"/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 </w:t>
      </w:r>
      <w:proofErr w:type="spellStart"/>
      <w:r w:rsidRPr="00EB7F31">
        <w:rPr>
          <w:rFonts w:ascii="Verdana" w:eastAsia="Times New Roman" w:hAnsi="Verdana" w:cs="Times New Roman"/>
          <w:color w:val="424242"/>
          <w:lang w:eastAsia="de-DE"/>
        </w:rPr>
        <w:t>of</w:t>
      </w:r>
      <w:proofErr w:type="spellEnd"/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 </w:t>
      </w:r>
      <w:proofErr w:type="spellStart"/>
      <w:r w:rsidRPr="00EB7F31">
        <w:rPr>
          <w:rFonts w:ascii="Verdana" w:eastAsia="Times New Roman" w:hAnsi="Verdana" w:cs="Times New Roman"/>
          <w:color w:val="424242"/>
          <w:lang w:eastAsia="de-DE"/>
        </w:rPr>
        <w:t>faith</w:t>
      </w:r>
      <w:proofErr w:type="spellEnd"/>
      <w:r w:rsidRPr="00EB7F31">
        <w:rPr>
          <w:rFonts w:ascii="Verdana" w:eastAsia="Times New Roman" w:hAnsi="Verdana" w:cs="Times New Roman"/>
          <w:color w:val="424242"/>
          <w:lang w:eastAsia="de-DE"/>
        </w:rPr>
        <w:t xml:space="preserve"> – formelle Bekenntnisse zum Glauben</w:t>
      </w:r>
    </w:p>
  </w:footnote>
  <w:footnote w:id="17">
    <w:p w:rsidR="00EB7F31" w:rsidRPr="00EB7F31" w:rsidRDefault="00EB7F31" w:rsidP="00EB7F3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B7F31">
        <w:rPr>
          <w:lang w:val="en-US"/>
        </w:rPr>
        <w:t xml:space="preserve"> 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the authority of age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–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Autorität</w:t>
      </w:r>
      <w:proofErr w:type="spellEnd"/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des Alters</w:t>
      </w:r>
    </w:p>
  </w:footnote>
  <w:footnote w:id="18">
    <w:p w:rsidR="00EB7F31" w:rsidRDefault="00EB7F31" w:rsidP="00EB7F3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an emphasis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-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Betonung</w:t>
      </w:r>
      <w:proofErr w:type="spellEnd"/>
    </w:p>
  </w:footnote>
  <w:footnote w:id="19">
    <w:p w:rsidR="00EB4076" w:rsidRPr="00EB7F31" w:rsidRDefault="00EB407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B7F31">
        <w:rPr>
          <w:lang w:val="en-US"/>
        </w:rPr>
        <w:t xml:space="preserve"> to g</w:t>
      </w:r>
      <w:r w:rsidRPr="00EB7F31">
        <w:rPr>
          <w:rFonts w:ascii="Verdana" w:eastAsia="Times New Roman" w:hAnsi="Verdana" w:cs="Times New Roman"/>
          <w:color w:val="424242"/>
          <w:lang w:val="en-US" w:eastAsia="de-DE"/>
        </w:rPr>
        <w:t>rant</w:t>
      </w:r>
      <w:r w:rsidRPr="00EB7F31">
        <w:rPr>
          <w:rFonts w:ascii="Verdana" w:eastAsia="Times New Roman" w:hAnsi="Verdana" w:cs="Times New Roman"/>
          <w:color w:val="424242"/>
          <w:lang w:val="en-US" w:eastAsia="de-DE"/>
        </w:rPr>
        <w:t xml:space="preserve"> - </w:t>
      </w:r>
      <w:proofErr w:type="spellStart"/>
      <w:r w:rsidRPr="00EB7F31">
        <w:rPr>
          <w:rFonts w:ascii="Verdana" w:eastAsia="Times New Roman" w:hAnsi="Verdana" w:cs="Times New Roman"/>
          <w:color w:val="424242"/>
          <w:lang w:val="en-US" w:eastAsia="de-DE"/>
        </w:rPr>
        <w:t>gewähren</w:t>
      </w:r>
      <w:proofErr w:type="spellEnd"/>
    </w:p>
  </w:footnote>
  <w:footnote w:id="20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B4076">
        <w:rPr>
          <w:rFonts w:ascii="Verdana" w:eastAsia="Times New Roman" w:hAnsi="Verdana" w:cs="Times New Roman"/>
          <w:color w:val="424242"/>
          <w:lang w:eastAsia="de-DE"/>
        </w:rPr>
        <w:t>p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opulous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- bevölkerungsreich</w:t>
      </w:r>
    </w:p>
  </w:footnote>
  <w:footnote w:id="21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r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emaining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- verbleibend</w:t>
      </w:r>
    </w:p>
  </w:footnote>
  <w:footnote w:id="22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Pr="00EB4076">
        <w:rPr>
          <w:rFonts w:ascii="Verdana" w:eastAsia="Times New Roman" w:hAnsi="Verdana" w:cs="Times New Roman"/>
          <w:color w:val="424242"/>
          <w:lang w:eastAsia="de-DE"/>
        </w:rPr>
        <w:t>hand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</w:t>
      </w:r>
      <w:proofErr w:type="spellStart"/>
      <w:r w:rsidRPr="00EB4076">
        <w:rPr>
          <w:rFonts w:ascii="Verdana" w:eastAsia="Times New Roman" w:hAnsi="Verdana" w:cs="Times New Roman"/>
          <w:color w:val="424242"/>
          <w:lang w:eastAsia="de-DE"/>
        </w:rPr>
        <w:t>over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- übergeben</w:t>
      </w:r>
    </w:p>
  </w:footnote>
  <w:footnote w:id="23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eced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- zurücktreten</w:t>
      </w:r>
      <w:bookmarkStart w:id="0" w:name="_GoBack"/>
      <w:bookmarkEnd w:id="0"/>
    </w:p>
  </w:footnote>
  <w:footnote w:id="24">
    <w:p w:rsidR="00BF1A0C" w:rsidRPr="00EB7F31" w:rsidRDefault="00BF1A0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B7F31">
        <w:rPr>
          <w:lang w:val="en-US"/>
        </w:rPr>
        <w:t xml:space="preserve"> </w:t>
      </w:r>
      <w:r w:rsidR="00EB7F31">
        <w:rPr>
          <w:rFonts w:ascii="Verdana" w:eastAsia="Times New Roman" w:hAnsi="Verdana" w:cs="Times New Roman"/>
          <w:color w:val="424242"/>
          <w:lang w:val="en-US" w:eastAsia="de-DE"/>
        </w:rPr>
        <w:t>d</w:t>
      </w:r>
      <w:r w:rsidR="00EB7F31" w:rsidRPr="00E85EC4">
        <w:rPr>
          <w:rFonts w:ascii="Verdana" w:eastAsia="Times New Roman" w:hAnsi="Verdana" w:cs="Times New Roman"/>
          <w:color w:val="424242"/>
          <w:lang w:val="en-US" w:eastAsia="de-DE"/>
        </w:rPr>
        <w:t>iminished</w:t>
      </w:r>
      <w:r w:rsidR="00EB7F31">
        <w:rPr>
          <w:rFonts w:ascii="Verdana" w:eastAsia="Times New Roman" w:hAnsi="Verdana" w:cs="Times New Roman"/>
          <w:color w:val="424242"/>
          <w:lang w:val="en-US" w:eastAsia="de-DE"/>
        </w:rPr>
        <w:t xml:space="preserve"> - </w:t>
      </w:r>
      <w:proofErr w:type="spellStart"/>
      <w:r w:rsidR="00EB7F31">
        <w:rPr>
          <w:rFonts w:ascii="Verdana" w:eastAsia="Times New Roman" w:hAnsi="Verdana" w:cs="Times New Roman"/>
          <w:color w:val="424242"/>
          <w:lang w:val="en-US" w:eastAsia="de-DE"/>
        </w:rPr>
        <w:t>vermindert</w:t>
      </w:r>
      <w:proofErr w:type="spellEnd"/>
    </w:p>
  </w:footnote>
  <w:footnote w:id="25">
    <w:p w:rsidR="00EB7F31" w:rsidRPr="00EB7F31" w:rsidRDefault="00EB7F3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B7F31">
        <w:rPr>
          <w:lang w:val="en-US"/>
        </w:rPr>
        <w:t xml:space="preserve"> </w:t>
      </w:r>
      <w:r>
        <w:rPr>
          <w:lang w:val="en-US"/>
        </w:rPr>
        <w:t>n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onetheless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dennoch</w:t>
      </w:r>
      <w:proofErr w:type="spellEnd"/>
    </w:p>
  </w:footnote>
  <w:footnote w:id="26">
    <w:p w:rsidR="00EB4076" w:rsidRPr="00EB7F31" w:rsidRDefault="00EB4076" w:rsidP="00EB407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B7F31">
        <w:rPr>
          <w:lang w:val="en-US"/>
        </w:rPr>
        <w:t xml:space="preserve"> to </w:t>
      </w:r>
      <w:r w:rsidRPr="00EB7F31">
        <w:rPr>
          <w:rFonts w:ascii="Verdana" w:eastAsia="Times New Roman" w:hAnsi="Verdana" w:cs="Times New Roman"/>
          <w:color w:val="424242"/>
          <w:lang w:val="en-US" w:eastAsia="de-DE"/>
        </w:rPr>
        <w:t>deploy</w:t>
      </w:r>
      <w:r w:rsidRPr="00EB7F31">
        <w:rPr>
          <w:rFonts w:ascii="Verdana" w:eastAsia="Times New Roman" w:hAnsi="Verdana" w:cs="Times New Roman"/>
          <w:color w:val="424242"/>
          <w:lang w:val="en-US" w:eastAsia="de-DE"/>
        </w:rPr>
        <w:t xml:space="preserve"> - </w:t>
      </w:r>
      <w:proofErr w:type="spellStart"/>
      <w:r w:rsidRPr="00EB7F31">
        <w:rPr>
          <w:rFonts w:ascii="Verdana" w:eastAsia="Times New Roman" w:hAnsi="Verdana" w:cs="Times New Roman"/>
          <w:color w:val="424242"/>
          <w:lang w:val="en-US" w:eastAsia="de-DE"/>
        </w:rPr>
        <w:t>einsetzen</w:t>
      </w:r>
      <w:proofErr w:type="spellEnd"/>
    </w:p>
  </w:footnote>
  <w:footnote w:id="27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B4076">
        <w:rPr>
          <w:rFonts w:ascii="Verdana" w:eastAsia="Times New Roman" w:hAnsi="Verdana" w:cs="Times New Roman"/>
          <w:color w:val="424242"/>
          <w:lang w:eastAsia="de-DE"/>
        </w:rPr>
        <w:t>r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esponse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- Antwort</w:t>
      </w:r>
    </w:p>
  </w:footnote>
  <w:footnote w:id="28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ectarian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</w:t>
      </w:r>
      <w:proofErr w:type="spellStart"/>
      <w:r w:rsidRPr="00EB4076">
        <w:rPr>
          <w:rFonts w:ascii="Verdana" w:eastAsia="Times New Roman" w:hAnsi="Verdana" w:cs="Times New Roman"/>
          <w:color w:val="424242"/>
          <w:lang w:eastAsia="de-DE"/>
        </w:rPr>
        <w:t>violence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– religiöse Unruhen</w:t>
      </w:r>
    </w:p>
  </w:footnote>
  <w:footnote w:id="29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egotiate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- verhandeln</w:t>
      </w:r>
    </w:p>
  </w:footnote>
  <w:footnote w:id="30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B4076">
        <w:rPr>
          <w:rFonts w:ascii="Verdana" w:eastAsia="Times New Roman" w:hAnsi="Verdana" w:cs="Times New Roman"/>
          <w:color w:val="424242"/>
          <w:lang w:eastAsia="de-DE"/>
        </w:rPr>
        <w:t>e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ssentially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– im Wesentlichen</w:t>
      </w:r>
    </w:p>
  </w:footnote>
  <w:footnote w:id="31">
    <w:p w:rsidR="00EB4076" w:rsidRDefault="00EB4076" w:rsidP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an </w:t>
      </w:r>
      <w:proofErr w:type="spellStart"/>
      <w:r w:rsidRPr="00EB4076">
        <w:rPr>
          <w:rFonts w:ascii="Verdana" w:eastAsia="Times New Roman" w:hAnsi="Verdana" w:cs="Times New Roman"/>
          <w:color w:val="424242"/>
          <w:lang w:eastAsia="de-DE"/>
        </w:rPr>
        <w:t>assembly</w:t>
      </w:r>
      <w:proofErr w:type="spellEnd"/>
      <w:r>
        <w:rPr>
          <w:rFonts w:ascii="Verdana" w:eastAsia="Times New Roman" w:hAnsi="Verdana" w:cs="Times New Roman"/>
          <w:color w:val="424242"/>
          <w:lang w:eastAsia="de-DE"/>
        </w:rPr>
        <w:t xml:space="preserve"> - Versammlung</w:t>
      </w:r>
    </w:p>
  </w:footnote>
  <w:footnote w:id="32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</w:t>
      </w:r>
      <w:r w:rsidRPr="00BF1A0C">
        <w:rPr>
          <w:rFonts w:ascii="Verdana" w:eastAsia="Times New Roman" w:hAnsi="Verdana" w:cs="Times New Roman"/>
          <w:color w:val="424242"/>
          <w:lang w:eastAsia="de-DE"/>
        </w:rPr>
        <w:t>mount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- Menge</w:t>
      </w:r>
    </w:p>
  </w:footnote>
  <w:footnote w:id="33">
    <w:p w:rsidR="00BF1A0C" w:rsidRDefault="00BF1A0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BF1A0C">
        <w:rPr>
          <w:rFonts w:ascii="Verdana" w:eastAsia="Times New Roman" w:hAnsi="Verdana" w:cs="Times New Roman"/>
          <w:color w:val="424242"/>
          <w:lang w:eastAsia="de-DE"/>
        </w:rPr>
        <w:t>s</w:t>
      </w:r>
      <w:r w:rsidRPr="00BF1A0C">
        <w:rPr>
          <w:rFonts w:ascii="Verdana" w:eastAsia="Times New Roman" w:hAnsi="Verdana" w:cs="Times New Roman"/>
          <w:color w:val="424242"/>
          <w:lang w:eastAsia="de-DE"/>
        </w:rPr>
        <w:t>overeignty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- Souveränität</w:t>
      </w:r>
    </w:p>
  </w:footnote>
  <w:footnote w:id="34">
    <w:p w:rsidR="00BF1A0C" w:rsidRDefault="00BF1A0C" w:rsidP="00BF1A0C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proofErr w:type="spellStart"/>
      <w:r>
        <w:t>d</w:t>
      </w:r>
      <w:r w:rsidRPr="00BF1A0C">
        <w:rPr>
          <w:rFonts w:ascii="Verdana" w:eastAsia="Times New Roman" w:hAnsi="Verdana" w:cs="Times New Roman"/>
          <w:color w:val="424242"/>
          <w:lang w:eastAsia="de-DE"/>
        </w:rPr>
        <w:t>ecline</w:t>
      </w:r>
      <w:proofErr w:type="spellEnd"/>
      <w:r w:rsidRPr="00BF1A0C">
        <w:rPr>
          <w:rFonts w:ascii="Verdana" w:eastAsia="Times New Roman" w:hAnsi="Verdana" w:cs="Times New Roman"/>
          <w:color w:val="424242"/>
          <w:lang w:eastAsia="de-DE"/>
        </w:rPr>
        <w:t xml:space="preserve"> - Verfall </w:t>
      </w:r>
    </w:p>
  </w:footnote>
  <w:footnote w:id="35">
    <w:p w:rsidR="00BF1A0C" w:rsidRDefault="00BF1A0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S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ense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– Sinn,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Gefühl</w:t>
      </w:r>
      <w:proofErr w:type="spellEnd"/>
    </w:p>
  </w:footnote>
  <w:footnote w:id="36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m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alaise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– Krankheit, hier strukturelle Schwäche </w:t>
      </w:r>
    </w:p>
  </w:footnote>
  <w:footnote w:id="37">
    <w:p w:rsidR="00BF1A0C" w:rsidRDefault="00BF1A0C" w:rsidP="00BF1A0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ow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e -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verdanken</w:t>
      </w:r>
      <w:proofErr w:type="spellEnd"/>
    </w:p>
  </w:footnote>
  <w:footnote w:id="38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w</w:t>
      </w:r>
      <w:r w:rsidRPr="00EB4076">
        <w:rPr>
          <w:rFonts w:ascii="Verdana" w:eastAsia="Times New Roman" w:hAnsi="Verdana" w:cs="Times New Roman"/>
          <w:color w:val="424242"/>
          <w:lang w:eastAsia="de-DE"/>
        </w:rPr>
        <w:t>ages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- Verdienst</w:t>
      </w:r>
    </w:p>
  </w:footnote>
  <w:footnote w:id="39">
    <w:p w:rsidR="00EB4076" w:rsidRDefault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leisure time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Freizeit</w:t>
      </w:r>
      <w:proofErr w:type="spellEnd"/>
    </w:p>
  </w:footnote>
  <w:footnote w:id="40">
    <w:p w:rsidR="00EB4076" w:rsidRDefault="00EB4076" w:rsidP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85EC4">
        <w:rPr>
          <w:rFonts w:ascii="Verdana" w:eastAsia="Times New Roman" w:hAnsi="Verdana" w:cs="Times New Roman"/>
          <w:color w:val="424242"/>
          <w:lang w:val="en-US" w:eastAsia="de-DE"/>
        </w:rPr>
        <w:t>the abolition of restrictions</w:t>
      </w:r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–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Abschaffung</w:t>
      </w:r>
      <w:proofErr w:type="spellEnd"/>
      <w:r>
        <w:rPr>
          <w:rFonts w:ascii="Verdana" w:eastAsia="Times New Roman" w:hAnsi="Verdana" w:cs="Times New Roman"/>
          <w:color w:val="424242"/>
          <w:lang w:val="en-US" w:eastAsia="de-DE"/>
        </w:rPr>
        <w:t xml:space="preserve"> der </w:t>
      </w:r>
      <w:proofErr w:type="spellStart"/>
      <w:r>
        <w:rPr>
          <w:rFonts w:ascii="Verdana" w:eastAsia="Times New Roman" w:hAnsi="Verdana" w:cs="Times New Roman"/>
          <w:color w:val="424242"/>
          <w:lang w:val="en-US" w:eastAsia="de-DE"/>
        </w:rPr>
        <w:t>Regulierungen</w:t>
      </w:r>
      <w:proofErr w:type="spellEnd"/>
    </w:p>
  </w:footnote>
  <w:footnote w:id="41">
    <w:p w:rsidR="00EB4076" w:rsidRPr="00EB4076" w:rsidRDefault="00EB4076" w:rsidP="00EB407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B4076">
        <w:rPr>
          <w:rFonts w:ascii="Verdana" w:eastAsia="Times New Roman" w:hAnsi="Verdana" w:cs="Times New Roman"/>
          <w:color w:val="424242"/>
          <w:lang w:eastAsia="de-DE"/>
        </w:rPr>
        <w:t>un-xenophobic</w:t>
      </w:r>
      <w:proofErr w:type="spellEnd"/>
      <w:r w:rsidRPr="00EB4076">
        <w:rPr>
          <w:rFonts w:ascii="Verdana" w:eastAsia="Times New Roman" w:hAnsi="Verdana" w:cs="Times New Roman"/>
          <w:color w:val="424242"/>
          <w:lang w:eastAsia="de-DE"/>
        </w:rPr>
        <w:t xml:space="preserve"> – kulturell offen, nicht ausländerfeindlich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E86"/>
    <w:multiLevelType w:val="multilevel"/>
    <w:tmpl w:val="A26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527B3"/>
    <w:multiLevelType w:val="multilevel"/>
    <w:tmpl w:val="54CE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B0AB8"/>
    <w:multiLevelType w:val="hybridMultilevel"/>
    <w:tmpl w:val="FD08D65E"/>
    <w:lvl w:ilvl="0" w:tplc="33CA1C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C4"/>
    <w:rsid w:val="00093618"/>
    <w:rsid w:val="005F6773"/>
    <w:rsid w:val="00640084"/>
    <w:rsid w:val="00AF2C93"/>
    <w:rsid w:val="00BF1A0C"/>
    <w:rsid w:val="00E85EC4"/>
    <w:rsid w:val="00EB4076"/>
    <w:rsid w:val="00EB7F31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C6B1"/>
  <w15:docId w15:val="{6F600B56-D619-4CFE-8569-16F63510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85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85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5E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E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8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E85EC4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85EC4"/>
    <w:rPr>
      <w:color w:val="0000FF"/>
      <w:u w:val="single"/>
    </w:rPr>
  </w:style>
  <w:style w:type="character" w:customStyle="1" w:styleId="topanchor">
    <w:name w:val="top_anchor"/>
    <w:basedOn w:val="Absatz-Standardschriftart"/>
    <w:rsid w:val="00E85EC4"/>
  </w:style>
  <w:style w:type="character" w:customStyle="1" w:styleId="Beschriftung1">
    <w:name w:val="Beschriftung1"/>
    <w:basedOn w:val="Absatz-Standardschriftart"/>
    <w:rsid w:val="00E85EC4"/>
  </w:style>
  <w:style w:type="paragraph" w:styleId="Listenabsatz">
    <w:name w:val="List Paragraph"/>
    <w:basedOn w:val="Standard"/>
    <w:uiPriority w:val="34"/>
    <w:qFormat/>
    <w:rsid w:val="00E85EC4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093618"/>
  </w:style>
  <w:style w:type="paragraph" w:styleId="Funotentext">
    <w:name w:val="footnote text"/>
    <w:basedOn w:val="Standard"/>
    <w:link w:val="FunotentextZchn"/>
    <w:uiPriority w:val="99"/>
    <w:semiHidden/>
    <w:unhideWhenUsed/>
    <w:rsid w:val="00EB407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40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4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98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7E7E7"/>
                <w:bottom w:val="none" w:sz="0" w:space="0" w:color="auto"/>
                <w:right w:val="single" w:sz="12" w:space="0" w:color="E7E7E7"/>
              </w:divBdr>
            </w:div>
          </w:divsChild>
        </w:div>
        <w:div w:id="808981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1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E7E7E7"/>
                    <w:bottom w:val="none" w:sz="0" w:space="0" w:color="auto"/>
                    <w:right w:val="single" w:sz="12" w:space="0" w:color="E7E7E7"/>
                  </w:divBdr>
                  <w:divsChild>
                    <w:div w:id="4257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07394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385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8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5376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998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91583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74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1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6799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1132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9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6034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44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C8BA-2AD8-430C-BCF0-4F9E579D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Schreiber-Mansmann</dc:creator>
  <cp:lastModifiedBy>Nicole Schreiber-Mansmann</cp:lastModifiedBy>
  <cp:revision>2</cp:revision>
  <cp:lastPrinted>2018-02-27T13:55:00Z</cp:lastPrinted>
  <dcterms:created xsi:type="dcterms:W3CDTF">2018-02-27T20:42:00Z</dcterms:created>
  <dcterms:modified xsi:type="dcterms:W3CDTF">2018-02-27T20:42:00Z</dcterms:modified>
</cp:coreProperties>
</file>