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0C4CE" w14:textId="77777777" w:rsidR="00D30317" w:rsidRPr="005B625F" w:rsidRDefault="00D30317" w:rsidP="00D30317">
      <w:pPr>
        <w:rPr>
          <w:b/>
          <w:bCs/>
          <w:sz w:val="24"/>
          <w:szCs w:val="24"/>
        </w:rPr>
      </w:pPr>
      <w:r w:rsidRPr="005B625F">
        <w:rPr>
          <w:b/>
          <w:bCs/>
          <w:sz w:val="24"/>
          <w:szCs w:val="24"/>
        </w:rPr>
        <w:t>Individueller Grenznutzen und sozialer Grenznutzen</w:t>
      </w:r>
    </w:p>
    <w:p w14:paraId="184B0362" w14:textId="77777777" w:rsidR="00D30317" w:rsidRDefault="00D30317" w:rsidP="00D30317"/>
    <w:p w14:paraId="10CD7356" w14:textId="77777777" w:rsidR="00D30317" w:rsidRDefault="00D30317" w:rsidP="00D30317">
      <w:r>
        <w:t>Individueller Grenznutzen ist niedriger als sozialer Grenznutzen</w:t>
      </w:r>
    </w:p>
    <w:p w14:paraId="34CE6E94" w14:textId="77777777" w:rsidR="00D30317" w:rsidRDefault="00D30317" w:rsidP="00D30317"/>
    <w:p w14:paraId="6E74F06A" w14:textId="77777777" w:rsidR="00D30317" w:rsidRDefault="00D30317" w:rsidP="00D30317">
      <w:r>
        <w:t>Private Baumbestände können zu einem Marktversagen führen</w:t>
      </w:r>
    </w:p>
    <w:p w14:paraId="17380BBF" w14:textId="77777777" w:rsidR="00D30317" w:rsidRDefault="00D30317" w:rsidP="00D30317"/>
    <w:p w14:paraId="5C274DF7" w14:textId="77777777" w:rsidR="00D30317" w:rsidRDefault="00D30317" w:rsidP="00D30317">
      <w:r>
        <w:t>Bsp.: Amazonas: Grüne Lunge der Welt</w:t>
      </w:r>
    </w:p>
    <w:p w14:paraId="6AE6E3AE" w14:textId="77777777" w:rsidR="00D30317" w:rsidRDefault="00D30317" w:rsidP="00D30317">
      <w:pPr>
        <w:rPr>
          <w:b/>
          <w:bCs/>
        </w:rPr>
      </w:pPr>
      <w:r w:rsidRPr="005B625F">
        <w:rPr>
          <w:b/>
          <w:bCs/>
        </w:rPr>
        <w:t xml:space="preserve">Marktversagen: </w:t>
      </w:r>
    </w:p>
    <w:p w14:paraId="36B97A14" w14:textId="77777777" w:rsidR="00D30317" w:rsidRPr="00E2614E" w:rsidRDefault="00D30317" w:rsidP="00D30317">
      <w:pPr>
        <w:rPr>
          <w:b/>
          <w:bCs/>
        </w:rPr>
      </w:pPr>
      <w:r w:rsidRPr="00E2614E">
        <w:rPr>
          <w:rFonts w:ascii="Arial" w:hAnsi="Arial" w:cs="Arial"/>
          <w:shd w:val="clear" w:color="auto" w:fill="FFFFFF"/>
        </w:rPr>
        <w:t>liegt vor, wenn der Marktmechanismus aus Angebot und Nachfrage nicht zu den volkswirtschaftlich wünschenswerten Ergebnissen führt und die Produktionsfaktoren nicht so verwendet werden, dass sie den größtmöglichen Ertrag für die Gesamtwirtschaft bringen.</w:t>
      </w:r>
      <w:r w:rsidRPr="00E2614E">
        <w:rPr>
          <w:rFonts w:ascii="Arial" w:hAnsi="Arial" w:cs="Arial"/>
        </w:rPr>
        <w:br/>
      </w:r>
      <w:r w:rsidRPr="00E2614E">
        <w:rPr>
          <w:rFonts w:ascii="Arial" w:hAnsi="Arial" w:cs="Arial"/>
          <w:shd w:val="clear" w:color="auto" w:fill="FFFFFF"/>
        </w:rPr>
        <w:t xml:space="preserve">z. B. bei </w:t>
      </w:r>
      <w:hyperlink r:id="rId5" w:history="1">
        <w:r w:rsidRPr="00E2614E">
          <w:rPr>
            <w:rStyle w:val="Hyperlink"/>
            <w:rFonts w:ascii="Arial" w:hAnsi="Arial" w:cs="Arial"/>
            <w:color w:val="auto"/>
            <w:shd w:val="clear" w:color="auto" w:fill="FFFFFF"/>
          </w:rPr>
          <w:t>öffentlichen Gütern</w:t>
        </w:r>
      </w:hyperlink>
      <w:r w:rsidRPr="00E2614E">
        <w:t xml:space="preserve"> </w:t>
      </w:r>
      <w:r w:rsidRPr="00E2614E">
        <w:rPr>
          <w:rFonts w:ascii="Arial" w:hAnsi="Arial" w:cs="Arial"/>
          <w:shd w:val="clear" w:color="auto" w:fill="FFFFFF"/>
        </w:rPr>
        <w:t xml:space="preserve">oder </w:t>
      </w:r>
      <w:hyperlink r:id="rId6" w:history="1">
        <w:r w:rsidRPr="00E2614E">
          <w:rPr>
            <w:rStyle w:val="Hyperlink"/>
            <w:rFonts w:ascii="Arial" w:hAnsi="Arial" w:cs="Arial"/>
            <w:color w:val="auto"/>
            <w:shd w:val="clear" w:color="auto" w:fill="FFFFFF"/>
          </w:rPr>
          <w:t>Monopolen</w:t>
        </w:r>
      </w:hyperlink>
      <w:r w:rsidRPr="00E2614E">
        <w:rPr>
          <w:rFonts w:ascii="Arial" w:hAnsi="Arial" w:cs="Arial"/>
          <w:shd w:val="clear" w:color="auto" w:fill="FFFFFF"/>
        </w:rPr>
        <w:t xml:space="preserve"> greift der Staat in das Marktgeschehen ein, um Nachteile von Verbrauchern oder anderen Anbietern zu verhindern oder volkswirtschaftlich sinnvollere Ergebnisse zu erreichen.</w:t>
      </w:r>
    </w:p>
    <w:p w14:paraId="048D3274" w14:textId="77777777" w:rsidR="00D30317" w:rsidRPr="00E2614E" w:rsidRDefault="00D30317" w:rsidP="00D30317">
      <w:pPr>
        <w:rPr>
          <w:b/>
          <w:bCs/>
        </w:rPr>
      </w:pPr>
      <w:r w:rsidRPr="00E2614E">
        <w:rPr>
          <w:b/>
          <w:bCs/>
        </w:rPr>
        <w:t>Umweltschutz</w:t>
      </w:r>
      <w:r>
        <w:rPr>
          <w:b/>
          <w:bCs/>
        </w:rPr>
        <w:t>-</w:t>
      </w:r>
      <w:r w:rsidRPr="00E2614E">
        <w:rPr>
          <w:b/>
          <w:bCs/>
        </w:rPr>
        <w:t xml:space="preserve">Regulatorien </w:t>
      </w:r>
    </w:p>
    <w:p w14:paraId="37D52FCF" w14:textId="77777777" w:rsidR="00D30317" w:rsidRDefault="00D30317" w:rsidP="00D30317">
      <w:pPr>
        <w:pStyle w:val="Listenabsatz"/>
        <w:numPr>
          <w:ilvl w:val="0"/>
          <w:numId w:val="2"/>
        </w:numPr>
      </w:pPr>
      <w:r>
        <w:t>Verbessern durch Aufforstung</w:t>
      </w:r>
    </w:p>
    <w:p w14:paraId="0897DD5D" w14:textId="77777777" w:rsidR="00D30317" w:rsidRDefault="00D30317" w:rsidP="00D30317">
      <w:pPr>
        <w:pStyle w:val="Listenabsatz"/>
        <w:numPr>
          <w:ilvl w:val="0"/>
          <w:numId w:val="2"/>
        </w:numPr>
      </w:pPr>
      <w:r>
        <w:t xml:space="preserve">Sanktionen </w:t>
      </w:r>
    </w:p>
    <w:p w14:paraId="4513DF00" w14:textId="77777777" w:rsidR="00D30317" w:rsidRDefault="00D30317" w:rsidP="00D30317"/>
    <w:p w14:paraId="265ECEE7" w14:textId="77777777" w:rsidR="00D30317" w:rsidRPr="005B625F" w:rsidRDefault="00D30317" w:rsidP="00D30317">
      <w:pPr>
        <w:rPr>
          <w:b/>
          <w:bCs/>
        </w:rPr>
      </w:pPr>
      <w:r w:rsidRPr="005B625F">
        <w:rPr>
          <w:b/>
          <w:bCs/>
        </w:rPr>
        <w:t xml:space="preserve">Nachhaltigkeit: </w:t>
      </w:r>
    </w:p>
    <w:p w14:paraId="1E344DD6" w14:textId="77777777" w:rsidR="00D30317" w:rsidRDefault="00D30317" w:rsidP="00D30317">
      <w:pPr>
        <w:pStyle w:val="Listenabsatz"/>
        <w:numPr>
          <w:ilvl w:val="0"/>
          <w:numId w:val="1"/>
        </w:numPr>
      </w:pPr>
      <w:r>
        <w:t>langhaltige Wirkung, nicht mehr Holz fällen als nachgeforstet werden kann</w:t>
      </w:r>
    </w:p>
    <w:p w14:paraId="579ABD05" w14:textId="77777777" w:rsidR="00D30317" w:rsidRDefault="00D30317" w:rsidP="00D30317">
      <w:pPr>
        <w:pStyle w:val="Listenabsatz"/>
        <w:numPr>
          <w:ilvl w:val="0"/>
          <w:numId w:val="1"/>
        </w:numPr>
      </w:pPr>
      <w:r>
        <w:t>künftige Generationen mit im Auge behalten</w:t>
      </w:r>
    </w:p>
    <w:p w14:paraId="66523E15" w14:textId="77777777" w:rsidR="00D30317" w:rsidRDefault="00D30317" w:rsidP="00D30317">
      <w:pPr>
        <w:pStyle w:val="Listenabsatz"/>
        <w:numPr>
          <w:ilvl w:val="0"/>
          <w:numId w:val="1"/>
        </w:numPr>
      </w:pPr>
      <w:r>
        <w:t>Gerechtigkeit zwischen den Generationen, Erdteilen und Mensch und Natur</w:t>
      </w:r>
    </w:p>
    <w:p w14:paraId="7C24A097" w14:textId="77777777" w:rsidR="00D30317" w:rsidRDefault="00D30317" w:rsidP="00D30317"/>
    <w:p w14:paraId="2431AF74" w14:textId="77777777" w:rsidR="00D30317" w:rsidRDefault="00D30317" w:rsidP="00D30317">
      <w:r w:rsidRPr="005B625F">
        <w:rPr>
          <w:b/>
          <w:bCs/>
        </w:rPr>
        <w:t>Inklusiver Wohlstand (IW):</w:t>
      </w:r>
      <w:r>
        <w:t xml:space="preserve"> Humankapital + produziertes Kapital + Naturkapital</w:t>
      </w:r>
    </w:p>
    <w:p w14:paraId="2124AC84" w14:textId="77777777" w:rsidR="00D30317" w:rsidRDefault="00D30317" w:rsidP="00D30317">
      <w:r w:rsidRPr="00E2614E">
        <w:rPr>
          <w:b/>
          <w:bCs/>
        </w:rPr>
        <w:t>Bruttoinlandsprodukt (BIP):</w:t>
      </w:r>
      <w:r>
        <w:t xml:space="preserve"> </w:t>
      </w:r>
      <w:r>
        <w:rPr>
          <w:rFonts w:ascii="Arial" w:hAnsi="Arial" w:cs="Arial"/>
          <w:color w:val="4D5156"/>
          <w:sz w:val="21"/>
          <w:szCs w:val="21"/>
          <w:shd w:val="clear" w:color="auto" w:fill="FFFFFF"/>
        </w:rPr>
        <w:t>gibt den Gesamtwert aller Güter, Waren und Dienstleistungen an, die während eines Jahres innerhalb der Landesgrenzen einer Volkswirtschaft als Endprodukte hergestellt wurden, nach Abzug aller Vorleistungen.</w:t>
      </w:r>
    </w:p>
    <w:p w14:paraId="060A91EE" w14:textId="77777777" w:rsidR="00D30317" w:rsidRDefault="00D30317"/>
    <w:sectPr w:rsidR="00D303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8259C"/>
    <w:multiLevelType w:val="hybridMultilevel"/>
    <w:tmpl w:val="261C5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137657"/>
    <w:multiLevelType w:val="hybridMultilevel"/>
    <w:tmpl w:val="5B0C5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17"/>
    <w:rsid w:val="00D303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A5F1"/>
  <w15:chartTrackingRefBased/>
  <w15:docId w15:val="{1DF3D493-264F-4644-ACB2-1B4C72D9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03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30317"/>
    <w:rPr>
      <w:color w:val="0000FF"/>
      <w:u w:val="single"/>
    </w:rPr>
  </w:style>
  <w:style w:type="paragraph" w:styleId="Listenabsatz">
    <w:name w:val="List Paragraph"/>
    <w:basedOn w:val="Standard"/>
    <w:uiPriority w:val="34"/>
    <w:qFormat/>
    <w:rsid w:val="00D30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pb.de/nachschlagen/lexika/lexikon-der-wirtschaft/20137/monopol" TargetMode="External"/><Relationship Id="rId5" Type="http://schemas.openxmlformats.org/officeDocument/2006/relationships/hyperlink" Target="https://www.bpb.de/nachschlagen/lexika/lexikon-der-wirtschaft/20244/oeffentliche-gue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1285</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1</cp:revision>
  <dcterms:created xsi:type="dcterms:W3CDTF">2021-02-24T19:31:00Z</dcterms:created>
  <dcterms:modified xsi:type="dcterms:W3CDTF">2021-02-24T19:32:00Z</dcterms:modified>
</cp:coreProperties>
</file>