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6CF" w:rsidRPr="00D366CF" w:rsidRDefault="00D366CF" w:rsidP="00BC445D">
      <w:pPr>
        <w:spacing w:after="0" w:line="240" w:lineRule="auto"/>
        <w:outlineLvl w:val="0"/>
        <w:rPr>
          <w:rFonts w:ascii="Arial" w:eastAsia="Times New Roman" w:hAnsi="Arial" w:cs="Arial"/>
          <w:b/>
          <w:bCs/>
          <w:kern w:val="36"/>
          <w:lang w:eastAsia="de-DE"/>
        </w:rPr>
      </w:pPr>
      <w:r w:rsidRPr="00D366CF">
        <w:rPr>
          <w:rFonts w:ascii="inherit" w:eastAsia="Times New Roman" w:hAnsi="inherit" w:cs="Times New Roman"/>
          <w:b/>
          <w:bCs/>
          <w:kern w:val="36"/>
          <w:sz w:val="31"/>
          <w:szCs w:val="45"/>
          <w:lang w:eastAsia="de-DE"/>
        </w:rPr>
        <w:t>Keynesianismus</w:t>
      </w:r>
      <w:bookmarkStart w:id="0" w:name="_GoBack"/>
    </w:p>
    <w:p w:rsidR="00D366CF" w:rsidRPr="00BC445D" w:rsidRDefault="00D366CF" w:rsidP="00BC445D">
      <w:pPr>
        <w:shd w:val="clear" w:color="auto" w:fill="FFFFFF"/>
        <w:spacing w:after="100" w:afterAutospacing="1" w:line="240" w:lineRule="auto"/>
        <w:rPr>
          <w:rFonts w:ascii="Arial" w:eastAsia="Times New Roman" w:hAnsi="Arial" w:cs="Arial"/>
          <w:color w:val="000000"/>
          <w:lang w:eastAsia="de-DE"/>
        </w:rPr>
      </w:pPr>
    </w:p>
    <w:p w:rsidR="00D366CF" w:rsidRPr="00BC445D" w:rsidRDefault="00D366CF" w:rsidP="00BC445D">
      <w:pPr>
        <w:pStyle w:val="StandardWeb"/>
        <w:shd w:val="clear" w:color="auto" w:fill="FFFFFF"/>
        <w:spacing w:before="330" w:beforeAutospacing="0" w:after="330" w:afterAutospacing="0"/>
        <w:rPr>
          <w:rFonts w:ascii="Arial" w:hAnsi="Arial" w:cs="Arial"/>
          <w:color w:val="414152"/>
          <w:sz w:val="22"/>
          <w:szCs w:val="22"/>
        </w:rPr>
      </w:pPr>
      <w:r w:rsidRPr="00BC445D">
        <w:rPr>
          <w:rStyle w:val="suchwort"/>
          <w:rFonts w:ascii="Arial" w:hAnsi="Arial" w:cs="Arial"/>
          <w:color w:val="414152"/>
          <w:sz w:val="22"/>
          <w:szCs w:val="22"/>
        </w:rPr>
        <w:t>Keynesianismus</w:t>
      </w:r>
      <w:r w:rsidRPr="00BC445D">
        <w:rPr>
          <w:rStyle w:val="suchwort"/>
          <w:rFonts w:ascii="Arial" w:hAnsi="Arial" w:cs="Arial"/>
          <w:color w:val="414152"/>
          <w:sz w:val="22"/>
          <w:szCs w:val="22"/>
        </w:rPr>
        <w:t xml:space="preserve">: </w:t>
      </w:r>
      <w:r w:rsidRPr="00BC445D">
        <w:rPr>
          <w:rFonts w:ascii="Arial" w:hAnsi="Arial" w:cs="Arial"/>
          <w:color w:val="414152"/>
          <w:sz w:val="22"/>
          <w:szCs w:val="22"/>
        </w:rPr>
        <w:t>bedeutende Theorieschule der modernen Volkswirtschaftslehre</w:t>
      </w:r>
    </w:p>
    <w:p w:rsidR="00D366CF" w:rsidRPr="00BC445D" w:rsidRDefault="00D366CF" w:rsidP="00BC445D">
      <w:pPr>
        <w:shd w:val="clear" w:color="auto" w:fill="FFFFFF"/>
        <w:spacing w:after="100" w:afterAutospacing="1" w:line="240" w:lineRule="auto"/>
        <w:rPr>
          <w:rFonts w:ascii="Arial" w:hAnsi="Arial" w:cs="Arial"/>
          <w:color w:val="414152"/>
        </w:rPr>
      </w:pPr>
      <w:r w:rsidRPr="00D366CF">
        <w:rPr>
          <w:rFonts w:ascii="Arial" w:eastAsia="Times New Roman" w:hAnsi="Arial" w:cs="Arial"/>
          <w:color w:val="000000"/>
          <w:lang w:eastAsia="de-DE"/>
        </w:rPr>
        <w:t>Namensgeber</w:t>
      </w:r>
      <w:r w:rsidRPr="00BC445D">
        <w:rPr>
          <w:rFonts w:ascii="Arial" w:eastAsia="Times New Roman" w:hAnsi="Arial" w:cs="Arial"/>
          <w:color w:val="000000"/>
          <w:lang w:eastAsia="de-DE"/>
        </w:rPr>
        <w:t>:</w:t>
      </w:r>
      <w:r w:rsidRPr="00D366CF">
        <w:rPr>
          <w:rFonts w:ascii="Arial" w:eastAsia="Times New Roman" w:hAnsi="Arial" w:cs="Arial"/>
          <w:color w:val="000000"/>
          <w:lang w:eastAsia="de-DE"/>
        </w:rPr>
        <w:t xml:space="preserve"> der britische Nationalökonom John Maynard Keynes</w:t>
      </w:r>
      <w:r w:rsidRPr="00D366CF">
        <w:rPr>
          <w:rFonts w:ascii="Arial" w:eastAsia="Times New Roman" w:hAnsi="Arial" w:cs="Arial"/>
          <w:color w:val="000000"/>
          <w:lang w:eastAsia="de-DE"/>
        </w:rPr>
        <w:br/>
      </w:r>
      <w:r w:rsidRPr="00BC445D">
        <w:rPr>
          <w:rFonts w:ascii="Arial" w:hAnsi="Arial" w:cs="Arial"/>
          <w:color w:val="414152"/>
        </w:rPr>
        <w:t xml:space="preserve">(1883–1946) </w:t>
      </w:r>
    </w:p>
    <w:p w:rsidR="00D366CF" w:rsidRPr="00BC445D" w:rsidRDefault="00D366CF" w:rsidP="00BC445D">
      <w:pPr>
        <w:shd w:val="clear" w:color="auto" w:fill="FFFFFF"/>
        <w:spacing w:after="100" w:afterAutospacing="1" w:line="240" w:lineRule="auto"/>
        <w:rPr>
          <w:rFonts w:ascii="Arial" w:hAnsi="Arial" w:cs="Arial"/>
          <w:color w:val="414152"/>
        </w:rPr>
      </w:pPr>
      <w:r w:rsidRPr="00BC445D">
        <w:rPr>
          <w:rFonts w:ascii="Arial" w:hAnsi="Arial" w:cs="Arial"/>
          <w:color w:val="414152"/>
        </w:rPr>
        <w:t xml:space="preserve">Werk – die „Allgemeine Theorie der Beschäftigung, des Zinses und Geldes“ – 1936 </w:t>
      </w:r>
    </w:p>
    <w:p w:rsidR="00D366CF" w:rsidRPr="00BC445D" w:rsidRDefault="00D366CF" w:rsidP="00BC445D">
      <w:pPr>
        <w:shd w:val="clear" w:color="auto" w:fill="FFFFFF"/>
        <w:spacing w:after="100" w:afterAutospacing="1" w:line="240" w:lineRule="auto"/>
        <w:rPr>
          <w:rFonts w:ascii="Arial" w:eastAsia="Times New Roman" w:hAnsi="Arial" w:cs="Arial"/>
          <w:color w:val="000000"/>
          <w:lang w:eastAsia="de-DE"/>
        </w:rPr>
      </w:pPr>
      <w:r w:rsidRPr="00D366CF">
        <w:rPr>
          <w:rFonts w:ascii="Arial" w:eastAsia="Times New Roman" w:hAnsi="Arial" w:cs="Arial"/>
          <w:color w:val="000000"/>
          <w:lang w:eastAsia="de-DE"/>
        </w:rPr>
        <w:t xml:space="preserve">Im </w:t>
      </w:r>
      <w:r w:rsidRPr="00D366CF">
        <w:rPr>
          <w:rFonts w:ascii="Arial" w:eastAsia="Times New Roman" w:hAnsi="Arial" w:cs="Arial"/>
          <w:b/>
          <w:color w:val="000000"/>
          <w:lang w:eastAsia="de-DE"/>
        </w:rPr>
        <w:t>Gegensatz zu liberalen Theorien</w:t>
      </w:r>
      <w:r w:rsidRPr="00D366CF">
        <w:rPr>
          <w:rFonts w:ascii="Arial" w:eastAsia="Times New Roman" w:hAnsi="Arial" w:cs="Arial"/>
          <w:color w:val="000000"/>
          <w:lang w:eastAsia="de-DE"/>
        </w:rPr>
        <w:t xml:space="preserve"> tritt der Keynesianismus dafür ein, </w:t>
      </w:r>
      <w:r w:rsidRPr="00D366CF">
        <w:rPr>
          <w:rFonts w:ascii="Arial" w:eastAsia="Times New Roman" w:hAnsi="Arial" w:cs="Arial"/>
          <w:b/>
          <w:color w:val="000000"/>
          <w:lang w:eastAsia="de-DE"/>
        </w:rPr>
        <w:t>dass der Staat den</w:t>
      </w:r>
      <w:r w:rsidRPr="00D366CF">
        <w:rPr>
          <w:rFonts w:ascii="Arial" w:eastAsia="Times New Roman" w:hAnsi="Arial" w:cs="Arial"/>
          <w:color w:val="000000"/>
          <w:lang w:eastAsia="de-DE"/>
        </w:rPr>
        <w:t xml:space="preserve"> </w:t>
      </w:r>
      <w:r w:rsidRPr="00D366CF">
        <w:rPr>
          <w:rFonts w:ascii="Arial" w:eastAsia="Times New Roman" w:hAnsi="Arial" w:cs="Arial"/>
          <w:b/>
          <w:color w:val="000000"/>
          <w:lang w:eastAsia="de-DE"/>
        </w:rPr>
        <w:t>Wirtschaftslauf beeinflusst</w:t>
      </w:r>
      <w:r w:rsidRPr="00D366CF">
        <w:rPr>
          <w:rFonts w:ascii="Arial" w:eastAsia="Times New Roman" w:hAnsi="Arial" w:cs="Arial"/>
          <w:color w:val="000000"/>
          <w:lang w:eastAsia="de-DE"/>
        </w:rPr>
        <w:t xml:space="preserve">, um konjunkturelle Schwankungen zu glätten und für Vollbeschäftigung zu sorgen. </w:t>
      </w:r>
    </w:p>
    <w:p w:rsidR="00BC445D" w:rsidRPr="00BC445D" w:rsidRDefault="00D366CF" w:rsidP="00BC445D">
      <w:pPr>
        <w:shd w:val="clear" w:color="auto" w:fill="FFFFFF"/>
        <w:spacing w:after="100" w:afterAutospacing="1" w:line="240" w:lineRule="auto"/>
        <w:rPr>
          <w:rFonts w:ascii="Arial" w:hAnsi="Arial" w:cs="Arial"/>
          <w:color w:val="414152"/>
        </w:rPr>
      </w:pPr>
      <w:r w:rsidRPr="00D366CF">
        <w:rPr>
          <w:rFonts w:ascii="Arial" w:eastAsia="Times New Roman" w:hAnsi="Arial" w:cs="Arial"/>
          <w:color w:val="000000"/>
          <w:lang w:eastAsia="de-DE"/>
        </w:rPr>
        <w:t>Hintergrund</w:t>
      </w:r>
      <w:r w:rsidR="00BC445D" w:rsidRPr="00BC445D">
        <w:rPr>
          <w:rFonts w:ascii="Arial" w:eastAsia="Times New Roman" w:hAnsi="Arial" w:cs="Arial"/>
          <w:color w:val="000000"/>
          <w:lang w:eastAsia="de-DE"/>
        </w:rPr>
        <w:t>:</w:t>
      </w:r>
      <w:r w:rsidRPr="00D366CF">
        <w:rPr>
          <w:rFonts w:ascii="Arial" w:eastAsia="Times New Roman" w:hAnsi="Arial" w:cs="Arial"/>
          <w:color w:val="000000"/>
          <w:lang w:eastAsia="de-DE"/>
        </w:rPr>
        <w:t xml:space="preserve"> </w:t>
      </w:r>
      <w:r w:rsidRPr="00D366CF">
        <w:rPr>
          <w:rFonts w:ascii="Arial" w:eastAsia="Times New Roman" w:hAnsi="Arial" w:cs="Arial"/>
          <w:b/>
          <w:color w:val="000000"/>
          <w:lang w:eastAsia="de-DE"/>
        </w:rPr>
        <w:t>Annahme der Anhänger des Keynesianismus, dass Märkte sich nicht selbst regulieren</w:t>
      </w:r>
      <w:r w:rsidRPr="00D366CF">
        <w:rPr>
          <w:rFonts w:ascii="Arial" w:eastAsia="Times New Roman" w:hAnsi="Arial" w:cs="Arial"/>
          <w:color w:val="000000"/>
          <w:lang w:eastAsia="de-DE"/>
        </w:rPr>
        <w:t>.</w:t>
      </w:r>
      <w:r w:rsidRPr="00D366CF">
        <w:rPr>
          <w:rFonts w:ascii="Arial" w:eastAsia="Times New Roman" w:hAnsi="Arial" w:cs="Arial"/>
          <w:color w:val="000000"/>
          <w:lang w:eastAsia="de-DE"/>
        </w:rPr>
        <w:br/>
      </w:r>
      <w:r w:rsidRPr="00D366CF">
        <w:rPr>
          <w:rFonts w:ascii="Arial" w:eastAsia="Times New Roman" w:hAnsi="Arial" w:cs="Arial"/>
          <w:color w:val="000000"/>
          <w:lang w:eastAsia="de-DE"/>
        </w:rPr>
        <w:br/>
      </w:r>
      <w:r w:rsidR="00BC445D" w:rsidRPr="00BC445D">
        <w:rPr>
          <w:rFonts w:ascii="Arial" w:eastAsia="Times New Roman" w:hAnsi="Arial" w:cs="Arial"/>
          <w:color w:val="000000"/>
          <w:lang w:eastAsia="de-DE"/>
        </w:rPr>
        <w:t xml:space="preserve">Folge: </w:t>
      </w:r>
      <w:r w:rsidRPr="00D366CF">
        <w:rPr>
          <w:rFonts w:ascii="Arial" w:eastAsia="Times New Roman" w:hAnsi="Arial" w:cs="Arial"/>
          <w:color w:val="000000"/>
          <w:lang w:eastAsia="de-DE"/>
        </w:rPr>
        <w:t xml:space="preserve">Staat soll eine </w:t>
      </w:r>
      <w:r w:rsidRPr="00D366CF">
        <w:rPr>
          <w:rFonts w:ascii="Arial" w:eastAsia="Times New Roman" w:hAnsi="Arial" w:cs="Arial"/>
          <w:b/>
          <w:color w:val="000000"/>
          <w:lang w:eastAsia="de-DE"/>
        </w:rPr>
        <w:t>aktive, antizyklische Wirtschaftspolitik</w:t>
      </w:r>
      <w:r w:rsidRPr="00D366CF">
        <w:rPr>
          <w:rFonts w:ascii="Arial" w:eastAsia="Times New Roman" w:hAnsi="Arial" w:cs="Arial"/>
          <w:color w:val="000000"/>
          <w:lang w:eastAsia="de-DE"/>
        </w:rPr>
        <w:t xml:space="preserve"> betreiben, d.h. in konjunkturell schwachen Phasen die eigenen Ausgaben erhöhen, gegebenenfalls auch </w:t>
      </w:r>
      <w:r w:rsidRPr="00D366CF">
        <w:rPr>
          <w:rFonts w:ascii="Arial" w:eastAsia="Times New Roman" w:hAnsi="Arial" w:cs="Arial"/>
          <w:b/>
          <w:color w:val="000000"/>
          <w:lang w:eastAsia="de-DE"/>
        </w:rPr>
        <w:t>durch eine höhere Verschuldung</w:t>
      </w:r>
      <w:r w:rsidRPr="00D366CF">
        <w:rPr>
          <w:rFonts w:ascii="Arial" w:eastAsia="Times New Roman" w:hAnsi="Arial" w:cs="Arial"/>
          <w:color w:val="000000"/>
          <w:lang w:eastAsia="de-DE"/>
        </w:rPr>
        <w:t xml:space="preserve">, in wirtschaftlichen </w:t>
      </w:r>
      <w:proofErr w:type="spellStart"/>
      <w:r w:rsidRPr="00D366CF">
        <w:rPr>
          <w:rFonts w:ascii="Arial" w:eastAsia="Times New Roman" w:hAnsi="Arial" w:cs="Arial"/>
          <w:b/>
          <w:color w:val="000000"/>
          <w:lang w:eastAsia="de-DE"/>
        </w:rPr>
        <w:t>Boomphasen</w:t>
      </w:r>
      <w:proofErr w:type="spellEnd"/>
      <w:r w:rsidRPr="00D366CF">
        <w:rPr>
          <w:rFonts w:ascii="Arial" w:eastAsia="Times New Roman" w:hAnsi="Arial" w:cs="Arial"/>
          <w:b/>
          <w:color w:val="000000"/>
          <w:lang w:eastAsia="de-DE"/>
        </w:rPr>
        <w:t xml:space="preserve"> </w:t>
      </w:r>
      <w:r w:rsidRPr="00D366CF">
        <w:rPr>
          <w:rFonts w:ascii="Arial" w:eastAsia="Times New Roman" w:hAnsi="Arial" w:cs="Arial"/>
          <w:color w:val="000000"/>
          <w:lang w:eastAsia="de-DE"/>
        </w:rPr>
        <w:t xml:space="preserve">hingegen soll der Staat seine </w:t>
      </w:r>
      <w:r w:rsidRPr="00D366CF">
        <w:rPr>
          <w:rFonts w:ascii="Arial" w:eastAsia="Times New Roman" w:hAnsi="Arial" w:cs="Arial"/>
          <w:b/>
          <w:color w:val="000000"/>
          <w:lang w:eastAsia="de-DE"/>
        </w:rPr>
        <w:t>Ausgaben senken</w:t>
      </w:r>
      <w:r w:rsidRPr="00D366CF">
        <w:rPr>
          <w:rFonts w:ascii="Arial" w:eastAsia="Times New Roman" w:hAnsi="Arial" w:cs="Arial"/>
          <w:color w:val="000000"/>
          <w:lang w:eastAsia="de-DE"/>
        </w:rPr>
        <w:br/>
      </w:r>
    </w:p>
    <w:p w:rsidR="00D366CF" w:rsidRPr="00BC445D" w:rsidRDefault="00D366CF" w:rsidP="00BC445D">
      <w:pPr>
        <w:shd w:val="clear" w:color="auto" w:fill="FFFFFF"/>
        <w:spacing w:after="100" w:afterAutospacing="1" w:line="240" w:lineRule="auto"/>
        <w:rPr>
          <w:rFonts w:ascii="Arial" w:hAnsi="Arial" w:cs="Arial"/>
          <w:color w:val="414152"/>
        </w:rPr>
      </w:pPr>
      <w:r w:rsidRPr="00BC445D">
        <w:rPr>
          <w:rFonts w:ascii="Arial" w:hAnsi="Arial" w:cs="Arial"/>
          <w:color w:val="414152"/>
        </w:rPr>
        <w:t xml:space="preserve">Aus </w:t>
      </w:r>
      <w:proofErr w:type="spellStart"/>
      <w:r w:rsidRPr="00BC445D">
        <w:rPr>
          <w:rFonts w:ascii="Arial" w:hAnsi="Arial" w:cs="Arial"/>
          <w:color w:val="414152"/>
        </w:rPr>
        <w:t>keynesianischer</w:t>
      </w:r>
      <w:proofErr w:type="spellEnd"/>
      <w:r w:rsidRPr="00BC445D">
        <w:rPr>
          <w:rFonts w:ascii="Arial" w:hAnsi="Arial" w:cs="Arial"/>
          <w:color w:val="414152"/>
        </w:rPr>
        <w:t xml:space="preserve"> Sicht kann es zu einem Versagen des Preisbildungsmechanismus auf den Gütermärkten kommen, in dessen Folge die gesamtwirtschaftliche Güternachfrage nicht ausreicht, um Vollbeschäftigung zu gewährleisten. </w:t>
      </w:r>
    </w:p>
    <w:p w:rsidR="00D366CF" w:rsidRPr="00BC445D" w:rsidRDefault="00D366CF" w:rsidP="00BC445D">
      <w:pPr>
        <w:pStyle w:val="StandardWeb"/>
        <w:shd w:val="clear" w:color="auto" w:fill="FFFFFF"/>
        <w:spacing w:before="330" w:beforeAutospacing="0" w:after="330" w:afterAutospacing="0"/>
        <w:rPr>
          <w:rFonts w:ascii="Arial" w:hAnsi="Arial" w:cs="Arial"/>
          <w:color w:val="414152"/>
          <w:sz w:val="22"/>
          <w:szCs w:val="22"/>
        </w:rPr>
      </w:pPr>
      <w:r w:rsidRPr="00BC445D">
        <w:rPr>
          <w:rFonts w:ascii="Arial" w:hAnsi="Arial" w:cs="Arial"/>
          <w:color w:val="414152"/>
          <w:sz w:val="22"/>
          <w:szCs w:val="22"/>
        </w:rPr>
        <w:t xml:space="preserve">Der Staat müsse in diesem Fall durch geeignete Maßnahmen für eine ausreichende Güternachfrage sorgen. </w:t>
      </w:r>
    </w:p>
    <w:p w:rsidR="00D366CF" w:rsidRPr="00BC445D" w:rsidRDefault="00D366CF" w:rsidP="00BC445D">
      <w:pPr>
        <w:pStyle w:val="StandardWeb"/>
        <w:shd w:val="clear" w:color="auto" w:fill="FFFFFF"/>
        <w:spacing w:before="330" w:beforeAutospacing="0" w:after="330" w:afterAutospacing="0"/>
        <w:rPr>
          <w:rFonts w:ascii="Arial" w:hAnsi="Arial" w:cs="Arial"/>
          <w:color w:val="414152"/>
          <w:sz w:val="22"/>
          <w:szCs w:val="22"/>
        </w:rPr>
      </w:pPr>
      <w:r w:rsidRPr="00BC445D">
        <w:rPr>
          <w:rFonts w:ascii="Arial" w:hAnsi="Arial" w:cs="Arial"/>
          <w:color w:val="414152"/>
          <w:sz w:val="22"/>
          <w:szCs w:val="22"/>
        </w:rPr>
        <w:t xml:space="preserve">Unter dem </w:t>
      </w:r>
      <w:r w:rsidRPr="00BC445D">
        <w:rPr>
          <w:rFonts w:ascii="Arial" w:hAnsi="Arial" w:cs="Arial"/>
          <w:b/>
          <w:color w:val="414152"/>
          <w:sz w:val="22"/>
          <w:szCs w:val="22"/>
        </w:rPr>
        <w:t>Eindruck der </w:t>
      </w:r>
      <w:r w:rsidRPr="00BC445D">
        <w:rPr>
          <w:rStyle w:val="suchwort"/>
          <w:rFonts w:ascii="Arial" w:hAnsi="Arial" w:cs="Arial"/>
          <w:b/>
          <w:color w:val="414152"/>
          <w:sz w:val="22"/>
          <w:szCs w:val="22"/>
        </w:rPr>
        <w:t>Weltwirtschaftskrise</w:t>
      </w:r>
      <w:r w:rsidRPr="00BC445D">
        <w:rPr>
          <w:rFonts w:ascii="Arial" w:hAnsi="Arial" w:cs="Arial"/>
          <w:color w:val="414152"/>
          <w:sz w:val="22"/>
          <w:szCs w:val="22"/>
        </w:rPr>
        <w:t> gelangte KEYNES zu der Auffassung, dass der freie Preisbildungsmechanismus auf den Märkten unter bestimmten Bedingungen nicht in der Lage ist, für eine für Vollbeschäftigung ausreichende gesamtwirtschaftliche Güternachfrage zu sorgen. Den hieraus resultierenden Beschäftigungskrisen müsse der Staat durch geeignete Maßnahmen der Nachfragebeeinflussung entgegenwirken.</w:t>
      </w:r>
    </w:p>
    <w:p w:rsidR="00D366CF" w:rsidRPr="00BC445D" w:rsidRDefault="00D366CF" w:rsidP="00BC445D">
      <w:pPr>
        <w:pStyle w:val="StandardWeb"/>
        <w:shd w:val="clear" w:color="auto" w:fill="FFFFFF"/>
        <w:spacing w:before="330" w:beforeAutospacing="0" w:after="330" w:afterAutospacing="0"/>
        <w:rPr>
          <w:rFonts w:ascii="Arial" w:hAnsi="Arial" w:cs="Arial"/>
          <w:color w:val="414152"/>
          <w:sz w:val="22"/>
          <w:szCs w:val="22"/>
        </w:rPr>
      </w:pPr>
      <w:r w:rsidRPr="00BC445D">
        <w:rPr>
          <w:rFonts w:ascii="Arial" w:hAnsi="Arial" w:cs="Arial"/>
          <w:color w:val="414152"/>
          <w:sz w:val="22"/>
          <w:szCs w:val="22"/>
        </w:rPr>
        <w:t xml:space="preserve">Aufgrund des </w:t>
      </w:r>
      <w:r w:rsidRPr="00BC445D">
        <w:rPr>
          <w:rFonts w:ascii="Arial" w:hAnsi="Arial" w:cs="Arial"/>
          <w:b/>
          <w:color w:val="414152"/>
          <w:sz w:val="22"/>
          <w:szCs w:val="22"/>
        </w:rPr>
        <w:t xml:space="preserve">Versagens der </w:t>
      </w:r>
      <w:proofErr w:type="spellStart"/>
      <w:r w:rsidRPr="00BC445D">
        <w:rPr>
          <w:rFonts w:ascii="Arial" w:hAnsi="Arial" w:cs="Arial"/>
          <w:b/>
          <w:color w:val="414152"/>
          <w:sz w:val="22"/>
          <w:szCs w:val="22"/>
        </w:rPr>
        <w:t>keynesianisch</w:t>
      </w:r>
      <w:proofErr w:type="spellEnd"/>
      <w:r w:rsidRPr="00BC445D">
        <w:rPr>
          <w:rFonts w:ascii="Arial" w:hAnsi="Arial" w:cs="Arial"/>
          <w:b/>
          <w:color w:val="414152"/>
          <w:sz w:val="22"/>
          <w:szCs w:val="22"/>
        </w:rPr>
        <w:t xml:space="preserve"> geprägten Wirtschaftspolitik in den 1970er-Jahren bei der Bekämpfung der wachsenden Arbeitslosigkeit</w:t>
      </w:r>
      <w:r w:rsidRPr="00BC445D">
        <w:rPr>
          <w:rFonts w:ascii="Arial" w:hAnsi="Arial" w:cs="Arial"/>
          <w:color w:val="414152"/>
          <w:sz w:val="22"/>
          <w:szCs w:val="22"/>
        </w:rPr>
        <w:t xml:space="preserve"> in Westeuropa hat der Keynesianismus sowohl innerhalb der Wirtschaftswissenschaft als auch innerhalb der Wirtschaftspolitik seit den 1980er-Jahren an Bedeutung verloren.</w:t>
      </w:r>
    </w:p>
    <w:p w:rsidR="00D366CF" w:rsidRPr="00BC445D" w:rsidRDefault="00D366CF" w:rsidP="00BC445D">
      <w:pPr>
        <w:pStyle w:val="StandardWeb"/>
        <w:shd w:val="clear" w:color="auto" w:fill="FFFFFF"/>
        <w:spacing w:before="330" w:beforeAutospacing="0" w:after="330" w:afterAutospacing="0"/>
        <w:rPr>
          <w:rFonts w:ascii="Arial" w:hAnsi="Arial" w:cs="Arial"/>
          <w:color w:val="414152"/>
          <w:sz w:val="22"/>
          <w:szCs w:val="22"/>
        </w:rPr>
      </w:pPr>
      <w:r w:rsidRPr="00BC445D">
        <w:rPr>
          <w:rFonts w:ascii="Arial" w:hAnsi="Arial" w:cs="Arial"/>
          <w:color w:val="414152"/>
          <w:sz w:val="22"/>
          <w:szCs w:val="22"/>
        </w:rPr>
        <w:t>Er befasst sich vor allem</w:t>
      </w:r>
    </w:p>
    <w:p w:rsidR="00D366CF" w:rsidRPr="00BC445D" w:rsidRDefault="00D366CF" w:rsidP="00BC445D">
      <w:pPr>
        <w:numPr>
          <w:ilvl w:val="0"/>
          <w:numId w:val="1"/>
        </w:numPr>
        <w:shd w:val="clear" w:color="auto" w:fill="FFFFFF"/>
        <w:spacing w:before="100" w:beforeAutospacing="1" w:after="100" w:afterAutospacing="1" w:line="240" w:lineRule="auto"/>
        <w:rPr>
          <w:rFonts w:ascii="Arial" w:hAnsi="Arial" w:cs="Arial"/>
          <w:color w:val="414152"/>
        </w:rPr>
      </w:pPr>
      <w:r w:rsidRPr="00BC445D">
        <w:rPr>
          <w:rFonts w:ascii="Arial" w:hAnsi="Arial" w:cs="Arial"/>
          <w:color w:val="414152"/>
        </w:rPr>
        <w:t>mit der Funktionsweise und den wechselseitigen Abhängigkeiten der Güter-, Geld- und Wertpapiermärkte aus gesamtwirtschaftlicher Sicht,</w:t>
      </w:r>
    </w:p>
    <w:p w:rsidR="00D366CF" w:rsidRPr="00BC445D" w:rsidRDefault="00D366CF" w:rsidP="00BC445D">
      <w:pPr>
        <w:numPr>
          <w:ilvl w:val="0"/>
          <w:numId w:val="1"/>
        </w:numPr>
        <w:shd w:val="clear" w:color="auto" w:fill="FFFFFF"/>
        <w:spacing w:before="100" w:beforeAutospacing="1" w:after="100" w:afterAutospacing="1" w:line="240" w:lineRule="auto"/>
        <w:rPr>
          <w:rFonts w:ascii="Arial" w:hAnsi="Arial" w:cs="Arial"/>
          <w:color w:val="414152"/>
        </w:rPr>
      </w:pPr>
      <w:r w:rsidRPr="00BC445D">
        <w:rPr>
          <w:rFonts w:ascii="Arial" w:hAnsi="Arial" w:cs="Arial"/>
          <w:color w:val="414152"/>
        </w:rPr>
        <w:t>mit den Entstehungsgründen von Einkommen und Beschäftigung,</w:t>
      </w:r>
    </w:p>
    <w:p w:rsidR="00D366CF" w:rsidRPr="00BC445D" w:rsidRDefault="00D366CF" w:rsidP="00BC445D">
      <w:pPr>
        <w:numPr>
          <w:ilvl w:val="0"/>
          <w:numId w:val="1"/>
        </w:numPr>
        <w:shd w:val="clear" w:color="auto" w:fill="FFFFFF"/>
        <w:spacing w:before="100" w:beforeAutospacing="1" w:after="100" w:afterAutospacing="1" w:line="240" w:lineRule="auto"/>
        <w:rPr>
          <w:rFonts w:ascii="Arial" w:hAnsi="Arial" w:cs="Arial"/>
          <w:color w:val="414152"/>
        </w:rPr>
      </w:pPr>
      <w:r w:rsidRPr="00BC445D">
        <w:rPr>
          <w:rFonts w:ascii="Arial" w:hAnsi="Arial" w:cs="Arial"/>
          <w:color w:val="414152"/>
        </w:rPr>
        <w:t>mit den Entstehungsgründen von Beschäftigungskrisen sowie</w:t>
      </w:r>
    </w:p>
    <w:p w:rsidR="00D366CF" w:rsidRPr="00BC445D" w:rsidRDefault="00D366CF" w:rsidP="00BC445D">
      <w:pPr>
        <w:numPr>
          <w:ilvl w:val="0"/>
          <w:numId w:val="1"/>
        </w:numPr>
        <w:shd w:val="clear" w:color="auto" w:fill="FFFFFF"/>
        <w:spacing w:before="100" w:beforeAutospacing="1" w:after="100" w:afterAutospacing="1" w:line="240" w:lineRule="auto"/>
        <w:rPr>
          <w:rFonts w:ascii="Arial" w:hAnsi="Arial" w:cs="Arial"/>
          <w:color w:val="414152"/>
        </w:rPr>
      </w:pPr>
      <w:r w:rsidRPr="00BC445D">
        <w:rPr>
          <w:rFonts w:ascii="Arial" w:hAnsi="Arial" w:cs="Arial"/>
          <w:color w:val="414152"/>
        </w:rPr>
        <w:t>mit den theoretischen und praktischen Möglichkeiten des Staates, gesamtwirtschaftliche Beschäftigungskrisen zu bekämpfen.</w:t>
      </w:r>
    </w:p>
    <w:bookmarkEnd w:id="0"/>
    <w:p w:rsidR="00437AAA" w:rsidRPr="00BC445D" w:rsidRDefault="00BC445D" w:rsidP="00D366CF">
      <w:pPr>
        <w:rPr>
          <w:rFonts w:ascii="Arial" w:hAnsi="Arial" w:cs="Arial"/>
        </w:rPr>
      </w:pPr>
    </w:p>
    <w:sectPr w:rsidR="00437AAA" w:rsidRPr="00BC44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C75CB"/>
    <w:multiLevelType w:val="multilevel"/>
    <w:tmpl w:val="7F2AF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CF"/>
    <w:rsid w:val="00967D94"/>
    <w:rsid w:val="00A972D2"/>
    <w:rsid w:val="00BC445D"/>
    <w:rsid w:val="00D366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2D45"/>
  <w15:chartTrackingRefBased/>
  <w15:docId w15:val="{A701CCBB-51D2-41E9-BE2B-8F8B427C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366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66C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D366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366CF"/>
  </w:style>
  <w:style w:type="character" w:styleId="Fett">
    <w:name w:val="Strong"/>
    <w:basedOn w:val="Absatz-Standardschriftart"/>
    <w:uiPriority w:val="22"/>
    <w:qFormat/>
    <w:rsid w:val="00D36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46767">
      <w:bodyDiv w:val="1"/>
      <w:marLeft w:val="0"/>
      <w:marRight w:val="0"/>
      <w:marTop w:val="0"/>
      <w:marBottom w:val="0"/>
      <w:divBdr>
        <w:top w:val="none" w:sz="0" w:space="0" w:color="auto"/>
        <w:left w:val="none" w:sz="0" w:space="0" w:color="auto"/>
        <w:bottom w:val="none" w:sz="0" w:space="0" w:color="auto"/>
        <w:right w:val="none" w:sz="0" w:space="0" w:color="auto"/>
      </w:divBdr>
    </w:div>
    <w:div w:id="2043632310">
      <w:bodyDiv w:val="1"/>
      <w:marLeft w:val="0"/>
      <w:marRight w:val="0"/>
      <w:marTop w:val="0"/>
      <w:marBottom w:val="0"/>
      <w:divBdr>
        <w:top w:val="none" w:sz="0" w:space="0" w:color="auto"/>
        <w:left w:val="none" w:sz="0" w:space="0" w:color="auto"/>
        <w:bottom w:val="none" w:sz="0" w:space="0" w:color="auto"/>
        <w:right w:val="none" w:sz="0" w:space="0" w:color="auto"/>
      </w:divBdr>
      <w:divsChild>
        <w:div w:id="892423992">
          <w:marLeft w:val="0"/>
          <w:marRight w:val="0"/>
          <w:marTop w:val="0"/>
          <w:marBottom w:val="0"/>
          <w:divBdr>
            <w:top w:val="none" w:sz="0" w:space="0" w:color="auto"/>
            <w:left w:val="none" w:sz="0" w:space="0" w:color="auto"/>
            <w:bottom w:val="none" w:sz="0" w:space="0" w:color="auto"/>
            <w:right w:val="none" w:sz="0" w:space="0" w:color="auto"/>
          </w:divBdr>
          <w:divsChild>
            <w:div w:id="913710130">
              <w:marLeft w:val="0"/>
              <w:marRight w:val="0"/>
              <w:marTop w:val="0"/>
              <w:marBottom w:val="0"/>
              <w:divBdr>
                <w:top w:val="none" w:sz="0" w:space="0" w:color="auto"/>
                <w:left w:val="none" w:sz="0" w:space="0" w:color="auto"/>
                <w:bottom w:val="none" w:sz="0" w:space="0" w:color="auto"/>
                <w:right w:val="none" w:sz="0" w:space="0" w:color="auto"/>
              </w:divBdr>
              <w:divsChild>
                <w:div w:id="1980185986">
                  <w:marLeft w:val="0"/>
                  <w:marRight w:val="0"/>
                  <w:marTop w:val="0"/>
                  <w:marBottom w:val="0"/>
                  <w:divBdr>
                    <w:top w:val="none" w:sz="0" w:space="0" w:color="auto"/>
                    <w:left w:val="none" w:sz="0" w:space="0" w:color="auto"/>
                    <w:bottom w:val="none" w:sz="0" w:space="0" w:color="auto"/>
                    <w:right w:val="none" w:sz="0" w:space="0" w:color="auto"/>
                  </w:divBdr>
                  <w:divsChild>
                    <w:div w:id="780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8314">
          <w:marLeft w:val="0"/>
          <w:marRight w:val="0"/>
          <w:marTop w:val="0"/>
          <w:marBottom w:val="0"/>
          <w:divBdr>
            <w:top w:val="none" w:sz="0" w:space="0" w:color="auto"/>
            <w:left w:val="none" w:sz="0" w:space="0" w:color="auto"/>
            <w:bottom w:val="none" w:sz="0" w:space="0" w:color="auto"/>
            <w:right w:val="none" w:sz="0" w:space="0" w:color="auto"/>
          </w:divBdr>
          <w:divsChild>
            <w:div w:id="459229495">
              <w:marLeft w:val="0"/>
              <w:marRight w:val="0"/>
              <w:marTop w:val="0"/>
              <w:marBottom w:val="0"/>
              <w:divBdr>
                <w:top w:val="none" w:sz="0" w:space="0" w:color="auto"/>
                <w:left w:val="none" w:sz="0" w:space="0" w:color="auto"/>
                <w:bottom w:val="none" w:sz="0" w:space="0" w:color="auto"/>
                <w:right w:val="none" w:sz="0" w:space="0" w:color="auto"/>
              </w:divBdr>
              <w:divsChild>
                <w:div w:id="633487272">
                  <w:marLeft w:val="0"/>
                  <w:marRight w:val="0"/>
                  <w:marTop w:val="0"/>
                  <w:marBottom w:val="0"/>
                  <w:divBdr>
                    <w:top w:val="none" w:sz="0" w:space="0" w:color="auto"/>
                    <w:left w:val="none" w:sz="0" w:space="0" w:color="auto"/>
                    <w:bottom w:val="none" w:sz="0" w:space="0" w:color="auto"/>
                    <w:right w:val="none" w:sz="0" w:space="0" w:color="auto"/>
                  </w:divBdr>
                  <w:divsChild>
                    <w:div w:id="774328246">
                      <w:marLeft w:val="0"/>
                      <w:marRight w:val="0"/>
                      <w:marTop w:val="0"/>
                      <w:marBottom w:val="0"/>
                      <w:divBdr>
                        <w:top w:val="none" w:sz="0" w:space="0" w:color="auto"/>
                        <w:left w:val="none" w:sz="0" w:space="0" w:color="auto"/>
                        <w:bottom w:val="none" w:sz="0" w:space="0" w:color="auto"/>
                        <w:right w:val="none" w:sz="0" w:space="0" w:color="auto"/>
                      </w:divBdr>
                      <w:divsChild>
                        <w:div w:id="1945991057">
                          <w:marLeft w:val="0"/>
                          <w:marRight w:val="0"/>
                          <w:marTop w:val="0"/>
                          <w:marBottom w:val="0"/>
                          <w:divBdr>
                            <w:top w:val="none" w:sz="0" w:space="0" w:color="auto"/>
                            <w:left w:val="none" w:sz="0" w:space="0" w:color="auto"/>
                            <w:bottom w:val="none" w:sz="0" w:space="0" w:color="auto"/>
                            <w:right w:val="none" w:sz="0" w:space="0" w:color="auto"/>
                          </w:divBdr>
                          <w:divsChild>
                            <w:div w:id="119569583">
                              <w:marLeft w:val="0"/>
                              <w:marRight w:val="0"/>
                              <w:marTop w:val="0"/>
                              <w:marBottom w:val="0"/>
                              <w:divBdr>
                                <w:top w:val="none" w:sz="0" w:space="0" w:color="auto"/>
                                <w:left w:val="none" w:sz="0" w:space="0" w:color="auto"/>
                                <w:bottom w:val="none" w:sz="0" w:space="0" w:color="auto"/>
                                <w:right w:val="none" w:sz="0" w:space="0" w:color="auto"/>
                              </w:divBdr>
                              <w:divsChild>
                                <w:div w:id="198124850">
                                  <w:marLeft w:val="0"/>
                                  <w:marRight w:val="0"/>
                                  <w:marTop w:val="0"/>
                                  <w:marBottom w:val="0"/>
                                  <w:divBdr>
                                    <w:top w:val="none" w:sz="0" w:space="0" w:color="auto"/>
                                    <w:left w:val="none" w:sz="0" w:space="0" w:color="auto"/>
                                    <w:bottom w:val="none" w:sz="0" w:space="0" w:color="auto"/>
                                    <w:right w:val="none" w:sz="0" w:space="0" w:color="auto"/>
                                  </w:divBdr>
                                  <w:divsChild>
                                    <w:div w:id="1637179733">
                                      <w:marLeft w:val="0"/>
                                      <w:marRight w:val="0"/>
                                      <w:marTop w:val="0"/>
                                      <w:marBottom w:val="0"/>
                                      <w:divBdr>
                                        <w:top w:val="none" w:sz="0" w:space="0" w:color="auto"/>
                                        <w:left w:val="none" w:sz="0" w:space="0" w:color="auto"/>
                                        <w:bottom w:val="none" w:sz="0" w:space="0" w:color="auto"/>
                                        <w:right w:val="none" w:sz="0" w:space="0" w:color="auto"/>
                                      </w:divBdr>
                                      <w:divsChild>
                                        <w:div w:id="11541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2</cp:revision>
  <dcterms:created xsi:type="dcterms:W3CDTF">2021-03-04T17:45:00Z</dcterms:created>
  <dcterms:modified xsi:type="dcterms:W3CDTF">2021-03-04T17:55:00Z</dcterms:modified>
</cp:coreProperties>
</file>